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8A2F" w14:textId="1D5287D8" w:rsidR="0089766E" w:rsidRPr="00C947F0" w:rsidRDefault="0089766E" w:rsidP="0089766E">
      <w:pPr>
        <w:pStyle w:val="Heading1"/>
        <w:jc w:val="center"/>
        <w:rPr>
          <w:rFonts w:ascii="Archivo" w:hAnsi="Archivo"/>
          <w:b/>
          <w:bCs/>
          <w:color w:val="000000" w:themeColor="text1"/>
          <w:sz w:val="24"/>
          <w:szCs w:val="24"/>
        </w:rPr>
      </w:pPr>
      <w:bookmarkStart w:id="0" w:name="_Toc140780375"/>
      <w:r w:rsidRPr="00C947F0">
        <w:rPr>
          <w:rFonts w:ascii="Archivo" w:hAnsi="Archivo"/>
          <w:b/>
          <w:bCs/>
          <w:color w:val="000000" w:themeColor="text1"/>
          <w:sz w:val="24"/>
          <w:szCs w:val="24"/>
        </w:rPr>
        <w:t xml:space="preserve">MODULE </w:t>
      </w:r>
      <w:r w:rsidR="00BA6D11">
        <w:rPr>
          <w:rFonts w:ascii="Archivo" w:hAnsi="Archivo"/>
          <w:b/>
          <w:bCs/>
          <w:color w:val="000000" w:themeColor="text1"/>
          <w:sz w:val="24"/>
          <w:szCs w:val="24"/>
        </w:rPr>
        <w:t>8</w:t>
      </w:r>
      <w:r w:rsidRPr="00C947F0">
        <w:rPr>
          <w:rFonts w:ascii="Archivo" w:hAnsi="Archivo"/>
          <w:b/>
          <w:bCs/>
          <w:color w:val="000000" w:themeColor="text1"/>
          <w:sz w:val="24"/>
          <w:szCs w:val="24"/>
        </w:rPr>
        <w:t>: NON-DETRIMENT FINDINGS</w:t>
      </w:r>
      <w:r w:rsidR="00BA419B">
        <w:rPr>
          <w:rFonts w:ascii="Archivo" w:hAnsi="Archivo"/>
          <w:b/>
          <w:bCs/>
          <w:color w:val="000000" w:themeColor="text1"/>
          <w:sz w:val="24"/>
          <w:szCs w:val="24"/>
        </w:rPr>
        <w:t xml:space="preserve"> FOR </w:t>
      </w:r>
      <w:r w:rsidR="00BA6D11">
        <w:rPr>
          <w:rFonts w:ascii="Archivo" w:hAnsi="Archivo"/>
          <w:b/>
          <w:bCs/>
          <w:color w:val="000000" w:themeColor="text1"/>
          <w:sz w:val="24"/>
          <w:szCs w:val="24"/>
        </w:rPr>
        <w:t>BIRDS</w:t>
      </w:r>
    </w:p>
    <w:p w14:paraId="7806AA37" w14:textId="77777777" w:rsidR="0089766E" w:rsidRPr="00C947F0" w:rsidRDefault="0089766E" w:rsidP="00F31CF4">
      <w:pPr>
        <w:rPr>
          <w:rFonts w:ascii="Archivo" w:eastAsia="Calibri" w:hAnsi="Archivo" w:cs="Calibri"/>
          <w:kern w:val="0"/>
          <w:sz w:val="24"/>
          <w:szCs w:val="24"/>
          <w:lang w:eastAsia="en-ZA"/>
          <w14:ligatures w14:val="none"/>
        </w:rPr>
      </w:pPr>
    </w:p>
    <w:p w14:paraId="14C03F3A" w14:textId="7B688C9A" w:rsidR="0089766E" w:rsidRPr="00BA419B" w:rsidRDefault="0089766E" w:rsidP="00BA419B">
      <w:pPr>
        <w:pStyle w:val="ListParagraph"/>
        <w:numPr>
          <w:ilvl w:val="0"/>
          <w:numId w:val="17"/>
        </w:numPr>
        <w:spacing w:after="240" w:line="276" w:lineRule="auto"/>
        <w:contextualSpacing w:val="0"/>
        <w:jc w:val="both"/>
        <w:rPr>
          <w:rFonts w:ascii="Archivo" w:hAnsi="Archivo" w:cs="Archivo"/>
          <w:b/>
          <w:bCs/>
          <w:color w:val="2F5497"/>
          <w:sz w:val="24"/>
          <w:szCs w:val="24"/>
        </w:rPr>
      </w:pPr>
      <w:r w:rsidRPr="00BA419B">
        <w:rPr>
          <w:rFonts w:ascii="Archivo" w:hAnsi="Archivo" w:cs="Archivo"/>
          <w:b/>
          <w:bCs/>
          <w:color w:val="2F5497"/>
          <w:sz w:val="24"/>
          <w:szCs w:val="24"/>
        </w:rPr>
        <w:t>What is in this module?</w:t>
      </w:r>
    </w:p>
    <w:p w14:paraId="6891F5C1" w14:textId="76B7FFCE" w:rsidR="00F31CF4" w:rsidRPr="00414DE8" w:rsidRDefault="00F31CF4" w:rsidP="003D13AB">
      <w:pPr>
        <w:spacing w:after="240"/>
        <w:jc w:val="both"/>
        <w:rPr>
          <w:rFonts w:ascii="Archivo" w:hAnsi="Archivo" w:cs="Archivo"/>
          <w:sz w:val="20"/>
          <w:szCs w:val="20"/>
        </w:rPr>
      </w:pPr>
      <w:r w:rsidRPr="00414DE8">
        <w:rPr>
          <w:rFonts w:ascii="Archivo" w:eastAsia="Calibri" w:hAnsi="Archivo" w:cs="Archivo"/>
          <w:kern w:val="0"/>
          <w:sz w:val="20"/>
          <w:szCs w:val="20"/>
          <w:lang w:eastAsia="en-ZA"/>
          <w14:ligatures w14:val="none"/>
        </w:rPr>
        <w:t xml:space="preserve">This </w:t>
      </w:r>
      <w:r w:rsidR="000E70D3" w:rsidRPr="00414DE8">
        <w:rPr>
          <w:rFonts w:ascii="Archivo" w:eastAsia="Calibri" w:hAnsi="Archivo" w:cs="Archivo"/>
          <w:kern w:val="0"/>
          <w:sz w:val="20"/>
          <w:szCs w:val="20"/>
          <w:lang w:eastAsia="en-ZA"/>
          <w14:ligatures w14:val="none"/>
        </w:rPr>
        <w:t xml:space="preserve">Module </w:t>
      </w:r>
      <w:r w:rsidRPr="00414DE8">
        <w:rPr>
          <w:rFonts w:ascii="Archivo" w:eastAsia="Calibri" w:hAnsi="Archivo" w:cs="Archivo"/>
          <w:kern w:val="0"/>
          <w:sz w:val="20"/>
          <w:szCs w:val="20"/>
          <w:lang w:eastAsia="en-ZA"/>
          <w14:ligatures w14:val="none"/>
        </w:rPr>
        <w:t xml:space="preserve">provides additional guidance to parties on some of the key considerations for undertaking NDFs for </w:t>
      </w:r>
      <w:r w:rsidRPr="00414DE8">
        <w:rPr>
          <w:rFonts w:ascii="Archivo" w:eastAsia="Calibri" w:hAnsi="Archivo" w:cs="Archivo"/>
          <w:sz w:val="20"/>
          <w:szCs w:val="20"/>
          <w:lang w:eastAsia="en-ZA"/>
        </w:rPr>
        <w:t xml:space="preserve">birds. </w:t>
      </w:r>
      <w:r w:rsidRPr="00414DE8">
        <w:rPr>
          <w:rFonts w:ascii="Archivo" w:hAnsi="Archivo" w:cs="Archivo"/>
          <w:sz w:val="20"/>
          <w:szCs w:val="20"/>
        </w:rPr>
        <w:t xml:space="preserve">At the time of writing, </w:t>
      </w:r>
      <w:bookmarkEnd w:id="0"/>
      <w:r w:rsidRPr="00414DE8">
        <w:rPr>
          <w:rFonts w:ascii="Archivo" w:hAnsi="Archivo" w:cs="Archivo"/>
          <w:sz w:val="20"/>
          <w:szCs w:val="20"/>
        </w:rPr>
        <w:t>CITES lists 156 species of birds on Appendix I, 1,294 species on Appendix II and 60 species on Appendix III. CITES coverage of birds on the Appendices is most complete for Falconiformes (Birds of Prey), Strigiformes (Owls), Psittaciformes (Parrots) and Apodiformes</w:t>
      </w:r>
      <w:r w:rsidRPr="00414DE8">
        <w:rPr>
          <w:rStyle w:val="FootnoteReference"/>
          <w:rFonts w:ascii="Archivo" w:hAnsi="Archivo" w:cs="Archivo"/>
          <w:sz w:val="20"/>
          <w:szCs w:val="20"/>
        </w:rPr>
        <w:footnoteReference w:id="1"/>
      </w:r>
      <w:r w:rsidRPr="00414DE8">
        <w:rPr>
          <w:rFonts w:ascii="Archivo" w:hAnsi="Archivo" w:cs="Archivo"/>
          <w:sz w:val="20"/>
          <w:szCs w:val="20"/>
        </w:rPr>
        <w:t xml:space="preserve"> (including Hummingbirds, Swifts and Tree Swallows) with between 75-100% of the total known species included. Birds are primarily traded live, though there is also large-scale trade in feathers, specimens, and derivatives. Most trade in live birds (2011-2022) was in species of Psittaciformes (Parrots). The greater part of this trade was in captive-bred individuals, though there remains a considerable trade in wild-caught Psittaciformes (c.10% of live birds)</w:t>
      </w:r>
      <w:r w:rsidRPr="00414DE8">
        <w:rPr>
          <w:rStyle w:val="FootnoteReference"/>
          <w:rFonts w:ascii="Archivo" w:hAnsi="Archivo" w:cs="Archivo"/>
          <w:sz w:val="20"/>
          <w:szCs w:val="20"/>
        </w:rPr>
        <w:footnoteReference w:id="2"/>
      </w:r>
      <w:r w:rsidRPr="00414DE8">
        <w:rPr>
          <w:rFonts w:ascii="Archivo" w:hAnsi="Archivo" w:cs="Archivo"/>
          <w:sz w:val="20"/>
          <w:szCs w:val="20"/>
        </w:rPr>
        <w:t xml:space="preserve">. In the live trade, the second most-traded </w:t>
      </w:r>
      <w:r w:rsidR="00323B8D" w:rsidRPr="00414DE8">
        <w:rPr>
          <w:rFonts w:ascii="Archivo" w:hAnsi="Archivo" w:cs="Archivo"/>
          <w:sz w:val="20"/>
          <w:szCs w:val="20"/>
        </w:rPr>
        <w:t xml:space="preserve">order </w:t>
      </w:r>
      <w:r w:rsidRPr="00414DE8">
        <w:rPr>
          <w:rFonts w:ascii="Archivo" w:hAnsi="Archivo" w:cs="Archivo"/>
          <w:sz w:val="20"/>
          <w:szCs w:val="20"/>
        </w:rPr>
        <w:t xml:space="preserve">was Falconiformes (Birds of prey).  Much of this trade is also in captive bred individuals, with wild-caught individuals accounting for 8.5% of the trade. </w:t>
      </w:r>
    </w:p>
    <w:p w14:paraId="231601DF" w14:textId="62E24579" w:rsidR="00C947F0"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The commercial trade in birds largely concerns Appendix II listed species, though both trade in Appendices I and III species is also recorded to a lesser degree. The trade in Appendix I species largely relates to trade in scientific specimens</w:t>
      </w:r>
      <w:r w:rsidR="00792BBC" w:rsidRPr="00414DE8">
        <w:rPr>
          <w:rFonts w:ascii="Archivo" w:hAnsi="Archivo" w:cs="Archivo"/>
          <w:sz w:val="20"/>
          <w:szCs w:val="20"/>
        </w:rPr>
        <w:t>,</w:t>
      </w:r>
      <w:r w:rsidRPr="00414DE8">
        <w:rPr>
          <w:rFonts w:ascii="Archivo" w:hAnsi="Archivo" w:cs="Archivo"/>
          <w:sz w:val="20"/>
          <w:szCs w:val="20"/>
        </w:rPr>
        <w:t xml:space="preserve"> though some trade in wild-caught live birds is recorded in the CITES trade database. For Appendix III, the live trade is predominantly in Galliformes (incl. pheasants and peacocks).   </w:t>
      </w:r>
    </w:p>
    <w:p w14:paraId="111FFE36" w14:textId="533BF760" w:rsidR="00C947F0" w:rsidRPr="00BA419B" w:rsidRDefault="00C947F0" w:rsidP="003D13AB">
      <w:pPr>
        <w:pStyle w:val="ListParagraph"/>
        <w:numPr>
          <w:ilvl w:val="0"/>
          <w:numId w:val="17"/>
        </w:numPr>
        <w:spacing w:after="240" w:line="276" w:lineRule="auto"/>
        <w:contextualSpacing w:val="0"/>
        <w:rPr>
          <w:rFonts w:ascii="Archivo" w:hAnsi="Archivo" w:cs="Archivo"/>
          <w:b/>
          <w:bCs/>
          <w:color w:val="2F5497"/>
          <w:sz w:val="24"/>
          <w:szCs w:val="24"/>
        </w:rPr>
      </w:pPr>
      <w:r w:rsidRPr="00BA419B">
        <w:rPr>
          <w:rFonts w:ascii="Archivo" w:hAnsi="Archivo" w:cs="Archivo"/>
          <w:b/>
          <w:bCs/>
          <w:color w:val="2F5497"/>
          <w:sz w:val="24"/>
          <w:szCs w:val="24"/>
        </w:rPr>
        <w:t>Application of the NDF Framework for Birds</w:t>
      </w:r>
    </w:p>
    <w:p w14:paraId="62C09F40" w14:textId="77777777" w:rsidR="00F31CF4" w:rsidRPr="00BA419B" w:rsidRDefault="00F31CF4" w:rsidP="00BA419B">
      <w:pPr>
        <w:pStyle w:val="ListParagraph"/>
        <w:numPr>
          <w:ilvl w:val="1"/>
          <w:numId w:val="17"/>
        </w:numPr>
        <w:spacing w:after="240"/>
        <w:contextualSpacing w:val="0"/>
        <w:jc w:val="both"/>
        <w:rPr>
          <w:rFonts w:ascii="Archivo" w:hAnsi="Archivo" w:cs="Archivo"/>
          <w:b/>
          <w:bCs/>
          <w:color w:val="2F5497"/>
          <w:sz w:val="24"/>
          <w:szCs w:val="24"/>
        </w:rPr>
      </w:pPr>
      <w:bookmarkStart w:id="1" w:name="_Toc140780381"/>
      <w:r w:rsidRPr="00BA419B">
        <w:rPr>
          <w:rFonts w:ascii="Archivo" w:hAnsi="Archivo" w:cs="Archivo"/>
          <w:b/>
          <w:bCs/>
          <w:color w:val="2F5497"/>
          <w:sz w:val="24"/>
          <w:szCs w:val="24"/>
        </w:rPr>
        <w:t>Pre-NDF Checks</w:t>
      </w:r>
      <w:bookmarkEnd w:id="1"/>
    </w:p>
    <w:p w14:paraId="12AA4600" w14:textId="1F505F62" w:rsidR="00F31CF4" w:rsidRPr="00414DE8" w:rsidRDefault="00C947F0" w:rsidP="00BA419B">
      <w:pPr>
        <w:spacing w:after="240"/>
        <w:jc w:val="both"/>
        <w:rPr>
          <w:rFonts w:ascii="Archivo" w:hAnsi="Archivo" w:cs="Archivo"/>
          <w:sz w:val="20"/>
          <w:szCs w:val="20"/>
        </w:rPr>
      </w:pPr>
      <w:r w:rsidRPr="00414DE8">
        <w:rPr>
          <w:rFonts w:ascii="Archivo" w:hAnsi="Archivo" w:cs="Archivo"/>
          <w:sz w:val="20"/>
          <w:szCs w:val="20"/>
        </w:rPr>
        <w:t>Module 2</w:t>
      </w:r>
      <w:r w:rsidR="00F31CF4" w:rsidRPr="00414DE8">
        <w:rPr>
          <w:rFonts w:ascii="Archivo" w:hAnsi="Archivo" w:cs="Archivo"/>
          <w:sz w:val="20"/>
          <w:szCs w:val="20"/>
        </w:rPr>
        <w:t xml:space="preserve"> sets out a series of </w:t>
      </w:r>
      <w:proofErr w:type="gramStart"/>
      <w:r w:rsidR="00F31CF4" w:rsidRPr="00414DE8">
        <w:rPr>
          <w:rFonts w:ascii="Archivo" w:hAnsi="Archivo" w:cs="Archivo"/>
          <w:sz w:val="20"/>
          <w:szCs w:val="20"/>
        </w:rPr>
        <w:t>Pre-NDF</w:t>
      </w:r>
      <w:proofErr w:type="gramEnd"/>
      <w:r w:rsidR="00F31CF4" w:rsidRPr="00414DE8">
        <w:rPr>
          <w:rFonts w:ascii="Archivo" w:hAnsi="Archivo" w:cs="Archivo"/>
          <w:sz w:val="20"/>
          <w:szCs w:val="20"/>
        </w:rPr>
        <w:t xml:space="preserve"> checks relating to</w:t>
      </w:r>
      <w:r w:rsidRPr="00414DE8">
        <w:rPr>
          <w:rFonts w:ascii="Archivo" w:hAnsi="Archivo" w:cs="Archivo"/>
          <w:sz w:val="20"/>
          <w:szCs w:val="20"/>
        </w:rPr>
        <w:t>:</w:t>
      </w:r>
    </w:p>
    <w:p w14:paraId="294C291F" w14:textId="77777777" w:rsidR="00F31CF4" w:rsidRPr="00414DE8" w:rsidRDefault="00F31CF4" w:rsidP="00BA419B">
      <w:pPr>
        <w:pStyle w:val="ListParagraph"/>
        <w:numPr>
          <w:ilvl w:val="0"/>
          <w:numId w:val="10"/>
        </w:numPr>
        <w:spacing w:after="240"/>
        <w:contextualSpacing w:val="0"/>
        <w:jc w:val="both"/>
        <w:rPr>
          <w:rFonts w:ascii="Archivo" w:hAnsi="Archivo" w:cs="Archivo"/>
          <w:sz w:val="20"/>
          <w:szCs w:val="20"/>
        </w:rPr>
      </w:pPr>
      <w:r w:rsidRPr="00414DE8">
        <w:rPr>
          <w:rFonts w:ascii="Archivo" w:hAnsi="Archivo" w:cs="Archivo"/>
          <w:sz w:val="20"/>
          <w:szCs w:val="20"/>
        </w:rPr>
        <w:t>Identification of the specimen</w:t>
      </w:r>
    </w:p>
    <w:p w14:paraId="69D249CC" w14:textId="77777777" w:rsidR="00F31CF4" w:rsidRPr="00414DE8" w:rsidRDefault="00F31CF4" w:rsidP="00BA419B">
      <w:pPr>
        <w:pStyle w:val="ListParagraph"/>
        <w:numPr>
          <w:ilvl w:val="0"/>
          <w:numId w:val="10"/>
        </w:numPr>
        <w:spacing w:after="240"/>
        <w:contextualSpacing w:val="0"/>
        <w:jc w:val="both"/>
        <w:rPr>
          <w:rFonts w:ascii="Archivo" w:hAnsi="Archivo" w:cs="Archivo"/>
          <w:sz w:val="20"/>
          <w:szCs w:val="20"/>
        </w:rPr>
      </w:pPr>
      <w:r w:rsidRPr="00414DE8">
        <w:rPr>
          <w:rFonts w:ascii="Archivo" w:hAnsi="Archivo" w:cs="Archivo"/>
          <w:sz w:val="20"/>
          <w:szCs w:val="20"/>
        </w:rPr>
        <w:t>Checking the Appendices for the species and specimen under consideration</w:t>
      </w:r>
    </w:p>
    <w:p w14:paraId="43661883" w14:textId="77777777" w:rsidR="00F31CF4" w:rsidRPr="00414DE8" w:rsidRDefault="00F31CF4" w:rsidP="00BA419B">
      <w:pPr>
        <w:pStyle w:val="ListParagraph"/>
        <w:numPr>
          <w:ilvl w:val="0"/>
          <w:numId w:val="10"/>
        </w:numPr>
        <w:spacing w:after="240"/>
        <w:contextualSpacing w:val="0"/>
        <w:jc w:val="both"/>
        <w:rPr>
          <w:rFonts w:ascii="Archivo" w:hAnsi="Archivo" w:cs="Archivo"/>
          <w:sz w:val="20"/>
          <w:szCs w:val="20"/>
        </w:rPr>
      </w:pPr>
      <w:r w:rsidRPr="00414DE8">
        <w:rPr>
          <w:rFonts w:ascii="Archivo" w:hAnsi="Archivo" w:cs="Archivo"/>
          <w:sz w:val="20"/>
          <w:szCs w:val="20"/>
        </w:rPr>
        <w:t>Assessing whether an NDF is required using the source code</w:t>
      </w:r>
      <w:r w:rsidRPr="00414DE8">
        <w:rPr>
          <w:rStyle w:val="FootnoteReference"/>
          <w:rFonts w:ascii="Archivo" w:hAnsi="Archivo" w:cs="Archivo"/>
          <w:sz w:val="20"/>
          <w:szCs w:val="20"/>
        </w:rPr>
        <w:footnoteReference w:id="3"/>
      </w:r>
      <w:r w:rsidRPr="00414DE8">
        <w:rPr>
          <w:rFonts w:ascii="Archivo" w:hAnsi="Archivo" w:cs="Archivo"/>
          <w:sz w:val="20"/>
          <w:szCs w:val="20"/>
        </w:rPr>
        <w:t xml:space="preserve"> </w:t>
      </w:r>
    </w:p>
    <w:p w14:paraId="3EC727AA" w14:textId="77777777" w:rsidR="00F31CF4" w:rsidRPr="00414DE8" w:rsidRDefault="00F31CF4" w:rsidP="00BA419B">
      <w:pPr>
        <w:pStyle w:val="ListParagraph"/>
        <w:numPr>
          <w:ilvl w:val="0"/>
          <w:numId w:val="10"/>
        </w:numPr>
        <w:spacing w:after="240"/>
        <w:contextualSpacing w:val="0"/>
        <w:jc w:val="both"/>
        <w:rPr>
          <w:rFonts w:ascii="Archivo" w:hAnsi="Archivo" w:cs="Archivo"/>
          <w:sz w:val="20"/>
          <w:szCs w:val="20"/>
        </w:rPr>
      </w:pPr>
      <w:r w:rsidRPr="00414DE8">
        <w:rPr>
          <w:rFonts w:ascii="Archivo" w:hAnsi="Archivo" w:cs="Archivo"/>
          <w:sz w:val="20"/>
          <w:szCs w:val="20"/>
        </w:rPr>
        <w:t>Evaluating National Legislation with relevance to understanding detriment and extinction risk.</w:t>
      </w:r>
    </w:p>
    <w:p w14:paraId="794988EF" w14:textId="63871FC1" w:rsidR="00F31CF4" w:rsidRPr="00BA419B" w:rsidRDefault="00C947F0" w:rsidP="00BA419B">
      <w:pPr>
        <w:pStyle w:val="Heading3"/>
        <w:spacing w:before="0" w:after="240"/>
        <w:ind w:left="720" w:firstLine="720"/>
        <w:jc w:val="both"/>
        <w:rPr>
          <w:rFonts w:ascii="Archivo" w:hAnsi="Archivo" w:cs="Archivo"/>
          <w:b/>
          <w:bCs/>
          <w:sz w:val="22"/>
          <w:szCs w:val="22"/>
        </w:rPr>
      </w:pPr>
      <w:bookmarkStart w:id="2" w:name="_Toc140780382"/>
      <w:r w:rsidRPr="00BA419B">
        <w:rPr>
          <w:rFonts w:ascii="Archivo" w:hAnsi="Archivo" w:cs="Archivo"/>
          <w:b/>
          <w:bCs/>
          <w:sz w:val="22"/>
          <w:szCs w:val="22"/>
        </w:rPr>
        <w:t>2</w:t>
      </w:r>
      <w:r w:rsidRPr="00BA419B">
        <w:rPr>
          <w:rFonts w:ascii="Archivo" w:hAnsi="Archivo" w:cs="Archivo"/>
          <w:b/>
          <w:bCs/>
          <w:color w:val="000000" w:themeColor="text1"/>
          <w:sz w:val="22"/>
          <w:szCs w:val="22"/>
        </w:rPr>
        <w:t xml:space="preserve">.1.1. </w:t>
      </w:r>
      <w:r w:rsidR="00F31CF4" w:rsidRPr="00BA419B">
        <w:rPr>
          <w:rFonts w:ascii="Archivo" w:hAnsi="Archivo" w:cs="Archivo"/>
          <w:b/>
          <w:bCs/>
          <w:color w:val="000000" w:themeColor="text1"/>
          <w:sz w:val="22"/>
          <w:szCs w:val="22"/>
        </w:rPr>
        <w:t xml:space="preserve">Identification </w:t>
      </w:r>
      <w:bookmarkEnd w:id="2"/>
    </w:p>
    <w:p w14:paraId="15173369" w14:textId="77777777" w:rsidR="00F31CF4"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 xml:space="preserve">Critical to completing the NDF process is ensuring </w:t>
      </w:r>
      <w:proofErr w:type="spellStart"/>
      <w:r w:rsidRPr="00414DE8">
        <w:rPr>
          <w:rFonts w:ascii="Archivo" w:hAnsi="Archivo" w:cs="Archivo"/>
          <w:sz w:val="20"/>
          <w:szCs w:val="20"/>
        </w:rPr>
        <w:t>i</w:t>
      </w:r>
      <w:proofErr w:type="spellEnd"/>
      <w:r w:rsidRPr="00414DE8">
        <w:rPr>
          <w:rFonts w:ascii="Archivo" w:hAnsi="Archivo" w:cs="Archivo"/>
          <w:sz w:val="20"/>
          <w:szCs w:val="20"/>
        </w:rPr>
        <w:t xml:space="preserve">) the correct identification of the specimen(s), ii) checking the listing under the CITES appendices and confirming the relevant source code, and iii) verifying the legal acquisition of the specimen(s), without confirmation of which the export should not proceed. This is the role of the Management Authority. </w:t>
      </w:r>
    </w:p>
    <w:p w14:paraId="361BFCEA" w14:textId="66FA91E1" w:rsidR="00F31CF4" w:rsidRPr="00BA419B" w:rsidRDefault="00C947F0" w:rsidP="00BA419B">
      <w:pPr>
        <w:pStyle w:val="Heading4"/>
        <w:spacing w:before="0" w:after="240"/>
        <w:ind w:left="720" w:firstLine="720"/>
        <w:jc w:val="both"/>
        <w:rPr>
          <w:rFonts w:ascii="Archivo" w:hAnsi="Archivo" w:cs="Archivo"/>
          <w:b/>
          <w:bCs/>
          <w:i w:val="0"/>
          <w:iCs w:val="0"/>
          <w:color w:val="000000" w:themeColor="text1"/>
        </w:rPr>
      </w:pPr>
      <w:r w:rsidRPr="00BA419B">
        <w:rPr>
          <w:rFonts w:ascii="Archivo" w:hAnsi="Archivo" w:cs="Archivo"/>
          <w:b/>
          <w:bCs/>
          <w:i w:val="0"/>
          <w:iCs w:val="0"/>
          <w:color w:val="000000" w:themeColor="text1"/>
        </w:rPr>
        <w:lastRenderedPageBreak/>
        <w:t xml:space="preserve">2.1.2. </w:t>
      </w:r>
      <w:r w:rsidR="00F31CF4" w:rsidRPr="00BA419B">
        <w:rPr>
          <w:rFonts w:ascii="Archivo" w:hAnsi="Archivo" w:cs="Archivo"/>
          <w:b/>
          <w:bCs/>
          <w:i w:val="0"/>
          <w:iCs w:val="0"/>
          <w:color w:val="000000" w:themeColor="text1"/>
        </w:rPr>
        <w:t>Birds</w:t>
      </w:r>
    </w:p>
    <w:p w14:paraId="6AC27891" w14:textId="77777777" w:rsidR="00F31CF4"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Within the CITES trade database (2011-2022)</w:t>
      </w:r>
      <w:r w:rsidRPr="00414DE8">
        <w:rPr>
          <w:rStyle w:val="FootnoteReference"/>
          <w:rFonts w:ascii="Archivo" w:hAnsi="Archivo" w:cs="Archivo"/>
          <w:sz w:val="20"/>
          <w:szCs w:val="20"/>
        </w:rPr>
        <w:footnoteReference w:id="4"/>
      </w:r>
      <w:r w:rsidRPr="00414DE8">
        <w:rPr>
          <w:rFonts w:ascii="Archivo" w:hAnsi="Archivo" w:cs="Archivo"/>
          <w:sz w:val="20"/>
          <w:szCs w:val="20"/>
        </w:rPr>
        <w:t xml:space="preserve"> there is a concerning number of bird specimens not identified to the species level, with 1072 records of trade in specimens marked as spp. (the qualifier used to indicate where identification to species was not recorded).  The majority are identified to the Family level only though this also includes cases for which the identification is at the Order level (</w:t>
      </w:r>
      <w:proofErr w:type="gramStart"/>
      <w:r w:rsidRPr="00414DE8">
        <w:rPr>
          <w:rFonts w:ascii="Archivo" w:hAnsi="Archivo" w:cs="Archivo"/>
          <w:sz w:val="20"/>
          <w:szCs w:val="20"/>
        </w:rPr>
        <w:t>i.e.</w:t>
      </w:r>
      <w:proofErr w:type="gramEnd"/>
      <w:r w:rsidRPr="00414DE8">
        <w:rPr>
          <w:rFonts w:ascii="Archivo" w:hAnsi="Archivo" w:cs="Archivo"/>
          <w:sz w:val="20"/>
          <w:szCs w:val="20"/>
        </w:rPr>
        <w:t xml:space="preserve"> Passeriformes).  The failure to identify species to at least the genus level will impact the robustness of the NDF.   </w:t>
      </w:r>
    </w:p>
    <w:p w14:paraId="41985188" w14:textId="2E38F006" w:rsidR="00F31CF4"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 xml:space="preserve">Whilst identification is largely undertaken at the point of the application for export/import, with the onus on the applicant to provide the correct scientific name according to CITES standard nomenclature, there are methods available to Scientific Authorities to aid the identification of species. This is particularly relevant in cases where there is a higher risk of misidentification.  This can occur </w:t>
      </w:r>
      <w:proofErr w:type="gramStart"/>
      <w:r w:rsidRPr="00414DE8">
        <w:rPr>
          <w:rFonts w:ascii="Archivo" w:hAnsi="Archivo" w:cs="Archivo"/>
          <w:sz w:val="20"/>
          <w:szCs w:val="20"/>
        </w:rPr>
        <w:t>as a result of</w:t>
      </w:r>
      <w:proofErr w:type="gramEnd"/>
      <w:r w:rsidRPr="00414DE8">
        <w:rPr>
          <w:rFonts w:ascii="Archivo" w:hAnsi="Archivo" w:cs="Archivo"/>
          <w:sz w:val="20"/>
          <w:szCs w:val="20"/>
        </w:rPr>
        <w:t xml:space="preserve"> </w:t>
      </w:r>
      <w:proofErr w:type="spellStart"/>
      <w:r w:rsidRPr="00414DE8">
        <w:rPr>
          <w:rFonts w:ascii="Archivo" w:hAnsi="Archivo" w:cs="Archivo"/>
          <w:sz w:val="20"/>
          <w:szCs w:val="20"/>
        </w:rPr>
        <w:t>i</w:t>
      </w:r>
      <w:proofErr w:type="spellEnd"/>
      <w:r w:rsidRPr="00414DE8">
        <w:rPr>
          <w:rFonts w:ascii="Archivo" w:hAnsi="Archivo" w:cs="Archivo"/>
          <w:sz w:val="20"/>
          <w:szCs w:val="20"/>
        </w:rPr>
        <w:t>) recent nomenclatural changes not recognized in the standard taxonomic references adopted by the Conference of the Parties, ii) the existence of look-alike species, iii) a deliberate effort to conceal illegal trade. These methods include</w:t>
      </w:r>
      <w:r w:rsidR="00072EF0" w:rsidRPr="00414DE8">
        <w:rPr>
          <w:rFonts w:ascii="Archivo" w:hAnsi="Archivo" w:cs="Archivo"/>
          <w:sz w:val="20"/>
          <w:szCs w:val="20"/>
        </w:rPr>
        <w:t>:</w:t>
      </w:r>
    </w:p>
    <w:p w14:paraId="0B7C95BE" w14:textId="77777777" w:rsidR="00F31CF4" w:rsidRPr="00414DE8" w:rsidRDefault="00F31CF4" w:rsidP="00BA419B">
      <w:pPr>
        <w:pStyle w:val="ListParagraph"/>
        <w:numPr>
          <w:ilvl w:val="0"/>
          <w:numId w:val="11"/>
        </w:numPr>
        <w:spacing w:after="240"/>
        <w:contextualSpacing w:val="0"/>
        <w:jc w:val="both"/>
        <w:rPr>
          <w:rFonts w:ascii="Archivo" w:hAnsi="Archivo" w:cs="Archivo"/>
          <w:sz w:val="20"/>
          <w:szCs w:val="20"/>
        </w:rPr>
      </w:pPr>
      <w:r w:rsidRPr="00414DE8">
        <w:rPr>
          <w:rFonts w:ascii="Archivo" w:hAnsi="Archivo" w:cs="Archivo"/>
          <w:sz w:val="20"/>
          <w:szCs w:val="20"/>
        </w:rPr>
        <w:t xml:space="preserve">Cross-referencing the information received from the Management Authority with: </w:t>
      </w:r>
    </w:p>
    <w:p w14:paraId="45894A81" w14:textId="77777777" w:rsidR="00F31CF4" w:rsidRPr="00414DE8" w:rsidRDefault="00F31CF4" w:rsidP="00BA419B">
      <w:pPr>
        <w:pStyle w:val="ListParagraph"/>
        <w:numPr>
          <w:ilvl w:val="1"/>
          <w:numId w:val="11"/>
        </w:numPr>
        <w:spacing w:after="240"/>
        <w:contextualSpacing w:val="0"/>
        <w:jc w:val="both"/>
        <w:rPr>
          <w:rFonts w:ascii="Archivo" w:hAnsi="Archivo" w:cs="Archivo"/>
          <w:sz w:val="20"/>
          <w:szCs w:val="20"/>
        </w:rPr>
      </w:pPr>
      <w:r w:rsidRPr="00414DE8">
        <w:rPr>
          <w:rFonts w:ascii="Archivo" w:hAnsi="Archivo" w:cs="Archivo"/>
          <w:sz w:val="20"/>
          <w:szCs w:val="20"/>
        </w:rPr>
        <w:t xml:space="preserve">national/ regional field guides </w:t>
      </w:r>
      <w:r w:rsidRPr="00414DE8">
        <w:rPr>
          <w:rFonts w:ascii="Archivo" w:hAnsi="Archivo" w:cs="Archivo"/>
          <w:i/>
          <w:iCs/>
          <w:sz w:val="20"/>
          <w:szCs w:val="20"/>
        </w:rPr>
        <w:t>or</w:t>
      </w:r>
      <w:r w:rsidRPr="00414DE8">
        <w:rPr>
          <w:rFonts w:ascii="Archivo" w:hAnsi="Archivo" w:cs="Archivo"/>
          <w:sz w:val="20"/>
          <w:szCs w:val="20"/>
        </w:rPr>
        <w:t xml:space="preserve"> where these are unavailable the Illustrated checklist of birds of the world,</w:t>
      </w:r>
      <w:r w:rsidRPr="00414DE8">
        <w:rPr>
          <w:rStyle w:val="FootnoteReference"/>
          <w:rFonts w:ascii="Archivo" w:hAnsi="Archivo" w:cs="Archivo"/>
          <w:sz w:val="20"/>
          <w:szCs w:val="20"/>
        </w:rPr>
        <w:footnoteReference w:id="5"/>
      </w:r>
      <w:r w:rsidRPr="00414DE8">
        <w:rPr>
          <w:rFonts w:ascii="Archivo" w:hAnsi="Archivo" w:cs="Archivo"/>
          <w:sz w:val="20"/>
          <w:szCs w:val="20"/>
        </w:rPr>
        <w:t xml:space="preserve"> which includes species-level illustrations by genus, </w:t>
      </w:r>
      <w:r w:rsidRPr="00414DE8">
        <w:rPr>
          <w:rFonts w:ascii="Archivo" w:hAnsi="Archivo" w:cs="Archivo"/>
          <w:i/>
          <w:iCs/>
          <w:sz w:val="20"/>
          <w:szCs w:val="20"/>
        </w:rPr>
        <w:t>or</w:t>
      </w:r>
      <w:r w:rsidRPr="00414DE8">
        <w:rPr>
          <w:rFonts w:ascii="Archivo" w:hAnsi="Archivo" w:cs="Archivo"/>
          <w:sz w:val="20"/>
          <w:szCs w:val="20"/>
        </w:rPr>
        <w:t xml:space="preserve"> the online Birds of the World website </w:t>
      </w:r>
      <w:r w:rsidRPr="00414DE8">
        <w:rPr>
          <w:rStyle w:val="FootnoteReference"/>
          <w:rFonts w:ascii="Archivo" w:hAnsi="Archivo" w:cs="Archivo"/>
          <w:sz w:val="20"/>
          <w:szCs w:val="20"/>
        </w:rPr>
        <w:footnoteReference w:id="6"/>
      </w:r>
      <w:r w:rsidRPr="00414DE8">
        <w:rPr>
          <w:rFonts w:ascii="Archivo" w:hAnsi="Archivo" w:cs="Archivo"/>
          <w:sz w:val="20"/>
          <w:szCs w:val="20"/>
        </w:rPr>
        <w:t xml:space="preserve"> which is a searchable media archive including photographs</w:t>
      </w:r>
      <w:r w:rsidRPr="00414DE8">
        <w:rPr>
          <w:rStyle w:val="FootnoteReference"/>
          <w:rFonts w:ascii="Archivo" w:hAnsi="Archivo" w:cs="Archivo"/>
          <w:sz w:val="20"/>
          <w:szCs w:val="20"/>
        </w:rPr>
        <w:footnoteReference w:id="7"/>
      </w:r>
      <w:r w:rsidRPr="00414DE8">
        <w:rPr>
          <w:rFonts w:ascii="Archivo" w:hAnsi="Archivo" w:cs="Archivo"/>
          <w:sz w:val="20"/>
          <w:szCs w:val="20"/>
        </w:rPr>
        <w:t xml:space="preserve">. </w:t>
      </w:r>
    </w:p>
    <w:p w14:paraId="3EFBFE58" w14:textId="77777777" w:rsidR="00F31CF4" w:rsidRPr="00414DE8" w:rsidRDefault="00F31CF4" w:rsidP="00BA419B">
      <w:pPr>
        <w:pStyle w:val="ListParagraph"/>
        <w:numPr>
          <w:ilvl w:val="1"/>
          <w:numId w:val="11"/>
        </w:numPr>
        <w:spacing w:after="240"/>
        <w:contextualSpacing w:val="0"/>
        <w:jc w:val="both"/>
        <w:rPr>
          <w:rFonts w:ascii="Archivo" w:hAnsi="Archivo" w:cs="Archivo"/>
          <w:sz w:val="20"/>
          <w:szCs w:val="20"/>
        </w:rPr>
      </w:pPr>
      <w:r w:rsidRPr="00414DE8">
        <w:rPr>
          <w:rFonts w:ascii="Archivo" w:hAnsi="Archivo" w:cs="Archivo"/>
          <w:sz w:val="20"/>
          <w:szCs w:val="20"/>
        </w:rPr>
        <w:t xml:space="preserve">Checking the standard nomenclature against the taxonomic notes contained in the Red List factsheet </w:t>
      </w:r>
      <w:r w:rsidRPr="00414DE8">
        <w:rPr>
          <w:rFonts w:ascii="Archivo" w:hAnsi="Archivo" w:cs="Archivo"/>
          <w:i/>
          <w:iCs/>
          <w:sz w:val="20"/>
          <w:szCs w:val="20"/>
        </w:rPr>
        <w:t>or</w:t>
      </w:r>
      <w:r w:rsidRPr="00414DE8">
        <w:rPr>
          <w:rFonts w:ascii="Archivo" w:hAnsi="Archivo" w:cs="Archivo"/>
          <w:sz w:val="20"/>
          <w:szCs w:val="20"/>
        </w:rPr>
        <w:t xml:space="preserve"> the Birds of the World website. </w:t>
      </w:r>
    </w:p>
    <w:p w14:paraId="64595ABF" w14:textId="77777777" w:rsidR="00F31CF4" w:rsidRPr="00414DE8" w:rsidRDefault="00F31CF4" w:rsidP="00BA419B">
      <w:pPr>
        <w:pStyle w:val="ListParagraph"/>
        <w:numPr>
          <w:ilvl w:val="1"/>
          <w:numId w:val="11"/>
        </w:numPr>
        <w:spacing w:after="240"/>
        <w:contextualSpacing w:val="0"/>
        <w:jc w:val="both"/>
        <w:rPr>
          <w:rFonts w:ascii="Archivo" w:hAnsi="Archivo" w:cs="Archivo"/>
          <w:sz w:val="20"/>
          <w:szCs w:val="20"/>
        </w:rPr>
      </w:pPr>
      <w:r w:rsidRPr="00414DE8">
        <w:rPr>
          <w:rFonts w:ascii="Archivo" w:hAnsi="Archivo" w:cs="Archivo"/>
          <w:sz w:val="20"/>
          <w:szCs w:val="20"/>
        </w:rPr>
        <w:t xml:space="preserve">the species distribution to ensure the species occurs within the harvest area indicated using the relevant field guide, Red List factsheet or </w:t>
      </w:r>
      <w:proofErr w:type="spellStart"/>
      <w:r w:rsidRPr="00414DE8">
        <w:rPr>
          <w:rFonts w:ascii="Archivo" w:hAnsi="Archivo" w:cs="Archivo"/>
          <w:sz w:val="20"/>
          <w:szCs w:val="20"/>
        </w:rPr>
        <w:t>BirdLife</w:t>
      </w:r>
      <w:proofErr w:type="spellEnd"/>
      <w:r w:rsidRPr="00414DE8">
        <w:rPr>
          <w:rFonts w:ascii="Archivo" w:hAnsi="Archivo" w:cs="Archivo"/>
          <w:sz w:val="20"/>
          <w:szCs w:val="20"/>
        </w:rPr>
        <w:t xml:space="preserve"> </w:t>
      </w:r>
      <w:proofErr w:type="spellStart"/>
      <w:r w:rsidRPr="00414DE8">
        <w:rPr>
          <w:rFonts w:ascii="Archivo" w:hAnsi="Archivo" w:cs="Archivo"/>
          <w:sz w:val="20"/>
          <w:szCs w:val="20"/>
        </w:rPr>
        <w:t>DataZone</w:t>
      </w:r>
      <w:proofErr w:type="spellEnd"/>
      <w:r w:rsidRPr="00414DE8">
        <w:rPr>
          <w:rStyle w:val="FootnoteReference"/>
          <w:rFonts w:ascii="Archivo" w:hAnsi="Archivo" w:cs="Archivo"/>
          <w:sz w:val="20"/>
          <w:szCs w:val="20"/>
        </w:rPr>
        <w:footnoteReference w:id="8"/>
      </w:r>
      <w:r w:rsidRPr="00414DE8">
        <w:rPr>
          <w:rFonts w:ascii="Archivo" w:hAnsi="Archivo" w:cs="Archivo"/>
          <w:sz w:val="20"/>
          <w:szCs w:val="20"/>
        </w:rPr>
        <w:t>.</w:t>
      </w:r>
    </w:p>
    <w:p w14:paraId="52FB36FD" w14:textId="4C1DC8C2" w:rsidR="00F31CF4" w:rsidRPr="00414DE8" w:rsidRDefault="00F31CF4" w:rsidP="00BA419B">
      <w:pPr>
        <w:pStyle w:val="ListParagraph"/>
        <w:numPr>
          <w:ilvl w:val="0"/>
          <w:numId w:val="11"/>
        </w:numPr>
        <w:spacing w:after="240"/>
        <w:contextualSpacing w:val="0"/>
        <w:jc w:val="both"/>
        <w:rPr>
          <w:rFonts w:ascii="Archivo" w:hAnsi="Archivo" w:cs="Archivo"/>
          <w:sz w:val="20"/>
          <w:szCs w:val="20"/>
        </w:rPr>
      </w:pPr>
      <w:r w:rsidRPr="00414DE8">
        <w:rPr>
          <w:rFonts w:ascii="Archivo" w:hAnsi="Archivo" w:cs="Archivo"/>
          <w:sz w:val="20"/>
          <w:szCs w:val="20"/>
        </w:rPr>
        <w:t>Asking for photographs of the specimens concerned if they cannot be examined directly, noting the possibility of deliberate substitutions</w:t>
      </w:r>
      <w:r w:rsidR="00034CEB">
        <w:rPr>
          <w:rFonts w:ascii="Archivo" w:hAnsi="Archivo" w:cs="Archivo"/>
          <w:sz w:val="20"/>
          <w:szCs w:val="20"/>
        </w:rPr>
        <w:t>.</w:t>
      </w:r>
      <w:r w:rsidRPr="00414DE8">
        <w:rPr>
          <w:rFonts w:ascii="Archivo" w:hAnsi="Archivo" w:cs="Archivo"/>
          <w:sz w:val="20"/>
          <w:szCs w:val="20"/>
        </w:rPr>
        <w:t xml:space="preserve"> </w:t>
      </w:r>
    </w:p>
    <w:p w14:paraId="0A796D71" w14:textId="77777777" w:rsidR="00F31CF4" w:rsidRPr="00414DE8" w:rsidRDefault="00F31CF4" w:rsidP="00BA419B">
      <w:pPr>
        <w:pStyle w:val="ListParagraph"/>
        <w:numPr>
          <w:ilvl w:val="0"/>
          <w:numId w:val="11"/>
        </w:numPr>
        <w:spacing w:after="240"/>
        <w:contextualSpacing w:val="0"/>
        <w:jc w:val="both"/>
        <w:rPr>
          <w:rFonts w:ascii="Archivo" w:hAnsi="Archivo" w:cs="Archivo"/>
          <w:sz w:val="20"/>
          <w:szCs w:val="20"/>
        </w:rPr>
      </w:pPr>
      <w:r w:rsidRPr="00414DE8">
        <w:rPr>
          <w:rFonts w:ascii="Archivo" w:hAnsi="Archivo" w:cs="Archivo"/>
          <w:sz w:val="20"/>
          <w:szCs w:val="20"/>
        </w:rPr>
        <w:t>Requiring an inspection or engaging an expert consultant to make the identification.</w:t>
      </w:r>
    </w:p>
    <w:p w14:paraId="6F68403F" w14:textId="77777777" w:rsidR="00F31CF4"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The CITES Identification Manual for Aves</w:t>
      </w:r>
      <w:r w:rsidRPr="00414DE8">
        <w:rPr>
          <w:rStyle w:val="FootnoteReference"/>
          <w:rFonts w:ascii="Archivo" w:hAnsi="Archivo" w:cs="Archivo"/>
          <w:sz w:val="20"/>
          <w:szCs w:val="20"/>
        </w:rPr>
        <w:footnoteReference w:id="9"/>
      </w:r>
      <w:r w:rsidRPr="00414DE8">
        <w:rPr>
          <w:rFonts w:ascii="Archivo" w:hAnsi="Archivo" w:cs="Archivo"/>
          <w:sz w:val="20"/>
          <w:szCs w:val="20"/>
        </w:rPr>
        <w:t xml:space="preserve"> provides general notes on species listed under the Appendices, their characteristics, distribution, population, and, for a limited number of species, details on intraspecific variation and similar species. Information complemented by that available on the Birds of the World website</w:t>
      </w:r>
      <w:r w:rsidRPr="00414DE8">
        <w:rPr>
          <w:rStyle w:val="FootnoteReference"/>
          <w:rFonts w:ascii="Archivo" w:hAnsi="Archivo" w:cs="Archivo"/>
          <w:sz w:val="20"/>
          <w:szCs w:val="20"/>
        </w:rPr>
        <w:footnoteReference w:id="10"/>
      </w:r>
      <w:r w:rsidRPr="00414DE8">
        <w:rPr>
          <w:rFonts w:ascii="Archivo" w:hAnsi="Archivo" w:cs="Archivo"/>
          <w:sz w:val="20"/>
          <w:szCs w:val="20"/>
        </w:rPr>
        <w:t xml:space="preserve"> and the </w:t>
      </w:r>
      <w:proofErr w:type="spellStart"/>
      <w:r w:rsidRPr="00414DE8">
        <w:rPr>
          <w:rFonts w:ascii="Archivo" w:hAnsi="Archivo" w:cs="Archivo"/>
          <w:sz w:val="20"/>
          <w:szCs w:val="20"/>
        </w:rPr>
        <w:t>BirdLife</w:t>
      </w:r>
      <w:proofErr w:type="spellEnd"/>
      <w:r w:rsidRPr="00414DE8">
        <w:rPr>
          <w:rFonts w:ascii="Archivo" w:hAnsi="Archivo" w:cs="Archivo"/>
          <w:sz w:val="20"/>
          <w:szCs w:val="20"/>
        </w:rPr>
        <w:t xml:space="preserve"> </w:t>
      </w:r>
      <w:proofErr w:type="spellStart"/>
      <w:r w:rsidRPr="00414DE8">
        <w:rPr>
          <w:rFonts w:ascii="Archivo" w:hAnsi="Archivo" w:cs="Archivo"/>
          <w:sz w:val="20"/>
          <w:szCs w:val="20"/>
        </w:rPr>
        <w:t>DataZone</w:t>
      </w:r>
      <w:proofErr w:type="spellEnd"/>
      <w:r w:rsidRPr="00414DE8">
        <w:rPr>
          <w:rStyle w:val="FootnoteReference"/>
          <w:rFonts w:ascii="Archivo" w:hAnsi="Archivo" w:cs="Archivo"/>
          <w:sz w:val="20"/>
          <w:szCs w:val="20"/>
        </w:rPr>
        <w:footnoteReference w:id="11"/>
      </w:r>
      <w:r w:rsidRPr="00414DE8">
        <w:rPr>
          <w:rFonts w:ascii="Archivo" w:hAnsi="Archivo" w:cs="Archivo"/>
          <w:sz w:val="20"/>
          <w:szCs w:val="20"/>
        </w:rPr>
        <w:t>.</w:t>
      </w:r>
    </w:p>
    <w:p w14:paraId="0D759392" w14:textId="080CEF2D" w:rsidR="00F31CF4" w:rsidRPr="00BA419B" w:rsidRDefault="00C947F0" w:rsidP="00BA419B">
      <w:pPr>
        <w:pStyle w:val="Heading5"/>
        <w:spacing w:before="0" w:after="240"/>
        <w:ind w:left="720" w:firstLine="720"/>
        <w:jc w:val="both"/>
        <w:rPr>
          <w:rFonts w:ascii="Archivo" w:hAnsi="Archivo" w:cs="Archivo"/>
        </w:rPr>
      </w:pPr>
      <w:r w:rsidRPr="00BA419B">
        <w:rPr>
          <w:rFonts w:ascii="Archivo" w:hAnsi="Archivo" w:cs="Archivo"/>
        </w:rPr>
        <w:t xml:space="preserve">2.1.3. </w:t>
      </w:r>
      <w:r w:rsidR="00F31CF4" w:rsidRPr="00BA419B">
        <w:rPr>
          <w:rFonts w:ascii="Archivo" w:hAnsi="Archivo" w:cs="Archivo"/>
        </w:rPr>
        <w:t>Dealing with look-alike species</w:t>
      </w:r>
    </w:p>
    <w:p w14:paraId="72AB040E" w14:textId="2F968305" w:rsidR="00F31CF4" w:rsidRPr="00414DE8" w:rsidRDefault="00F31CF4" w:rsidP="00BA419B">
      <w:pPr>
        <w:spacing w:after="240"/>
        <w:jc w:val="both"/>
        <w:rPr>
          <w:rFonts w:ascii="Archivo" w:hAnsi="Archivo" w:cs="Archivo"/>
          <w:sz w:val="20"/>
          <w:szCs w:val="20"/>
        </w:rPr>
      </w:pPr>
      <w:r w:rsidRPr="00414DE8">
        <w:rPr>
          <w:rFonts w:ascii="Archivo" w:hAnsi="Archivo" w:cs="Archivo"/>
          <w:sz w:val="20"/>
          <w:szCs w:val="20"/>
        </w:rPr>
        <w:t xml:space="preserve">The degree to which there are morphological similarities (their physical characteristics) among bird species is widely acknowledged. This can complicate identification to the species level, especially for eggs and juvenal stages, and adds complexity when species with strong similarities are listed in different Appendices. The </w:t>
      </w:r>
      <w:proofErr w:type="spellStart"/>
      <w:r w:rsidRPr="00414DE8">
        <w:rPr>
          <w:rFonts w:ascii="Archivo" w:hAnsi="Archivo" w:cs="Archivo"/>
          <w:sz w:val="20"/>
          <w:szCs w:val="20"/>
        </w:rPr>
        <w:t>Psittaciform</w:t>
      </w:r>
      <w:proofErr w:type="spellEnd"/>
      <w:r w:rsidRPr="00414DE8">
        <w:rPr>
          <w:rFonts w:ascii="Archivo" w:hAnsi="Archivo" w:cs="Archivo"/>
          <w:sz w:val="20"/>
          <w:szCs w:val="20"/>
        </w:rPr>
        <w:t xml:space="preserve"> genus </w:t>
      </w:r>
      <w:r w:rsidRPr="00414DE8">
        <w:rPr>
          <w:rFonts w:ascii="Archivo" w:hAnsi="Archivo" w:cs="Archivo"/>
          <w:i/>
          <w:sz w:val="20"/>
          <w:szCs w:val="20"/>
        </w:rPr>
        <w:t>Amazona</w:t>
      </w:r>
      <w:r w:rsidRPr="00414DE8">
        <w:rPr>
          <w:rFonts w:ascii="Archivo" w:hAnsi="Archivo" w:cs="Archivo"/>
          <w:sz w:val="20"/>
          <w:szCs w:val="20"/>
        </w:rPr>
        <w:t xml:space="preserve"> is one such group of hard to identify species listed across both Appendices I and II. </w:t>
      </w:r>
      <w:r w:rsidR="00A33195" w:rsidRPr="00414DE8">
        <w:rPr>
          <w:rFonts w:ascii="Archivo" w:hAnsi="Archivo" w:cs="Archivo"/>
          <w:sz w:val="20"/>
          <w:szCs w:val="20"/>
        </w:rPr>
        <w:t>One such identification guide has been produced in the case of the Cape Parrot (</w:t>
      </w:r>
      <w:proofErr w:type="spellStart"/>
      <w:r w:rsidR="00A33195" w:rsidRPr="00414DE8">
        <w:rPr>
          <w:rFonts w:ascii="Archivo" w:hAnsi="Archivo" w:cs="Archivo"/>
          <w:i/>
          <w:iCs/>
          <w:sz w:val="20"/>
          <w:szCs w:val="20"/>
        </w:rPr>
        <w:t>Poicephalus</w:t>
      </w:r>
      <w:proofErr w:type="spellEnd"/>
      <w:r w:rsidR="00A33195" w:rsidRPr="00414DE8">
        <w:rPr>
          <w:rFonts w:ascii="Archivo" w:hAnsi="Archivo" w:cs="Archivo"/>
          <w:i/>
          <w:iCs/>
          <w:sz w:val="20"/>
          <w:szCs w:val="20"/>
        </w:rPr>
        <w:t xml:space="preserve"> robustus</w:t>
      </w:r>
      <w:r w:rsidR="00A33195" w:rsidRPr="00414DE8">
        <w:rPr>
          <w:rFonts w:ascii="Archivo" w:hAnsi="Archivo" w:cs="Archivo"/>
          <w:sz w:val="20"/>
          <w:szCs w:val="20"/>
        </w:rPr>
        <w:t>) and Grey-headed parrot (</w:t>
      </w:r>
      <w:proofErr w:type="spellStart"/>
      <w:r w:rsidR="00A33195" w:rsidRPr="00414DE8">
        <w:rPr>
          <w:rFonts w:ascii="Archivo" w:hAnsi="Archivo" w:cs="Archivo"/>
          <w:i/>
          <w:iCs/>
          <w:sz w:val="20"/>
          <w:szCs w:val="20"/>
        </w:rPr>
        <w:t>Poicephalus</w:t>
      </w:r>
      <w:proofErr w:type="spellEnd"/>
      <w:r w:rsidR="00A33195" w:rsidRPr="00414DE8">
        <w:rPr>
          <w:rFonts w:ascii="Archivo" w:hAnsi="Archivo" w:cs="Archivo"/>
          <w:i/>
          <w:iCs/>
          <w:sz w:val="20"/>
          <w:szCs w:val="20"/>
        </w:rPr>
        <w:t xml:space="preserve"> </w:t>
      </w:r>
      <w:proofErr w:type="spellStart"/>
      <w:r w:rsidR="00A33195" w:rsidRPr="00414DE8">
        <w:rPr>
          <w:rFonts w:ascii="Archivo" w:hAnsi="Archivo" w:cs="Archivo"/>
          <w:i/>
          <w:iCs/>
          <w:sz w:val="20"/>
          <w:szCs w:val="20"/>
        </w:rPr>
        <w:t>fusicollis</w:t>
      </w:r>
      <w:proofErr w:type="spellEnd"/>
      <w:r w:rsidR="00A33195" w:rsidRPr="00414DE8">
        <w:rPr>
          <w:rFonts w:ascii="Archivo" w:hAnsi="Archivo" w:cs="Archivo"/>
          <w:i/>
          <w:iCs/>
          <w:sz w:val="20"/>
          <w:szCs w:val="20"/>
        </w:rPr>
        <w:t xml:space="preserve"> </w:t>
      </w:r>
      <w:proofErr w:type="spellStart"/>
      <w:r w:rsidR="00A33195" w:rsidRPr="00414DE8">
        <w:rPr>
          <w:rFonts w:ascii="Archivo" w:hAnsi="Archivo" w:cs="Archivo"/>
          <w:i/>
          <w:iCs/>
          <w:sz w:val="20"/>
          <w:szCs w:val="20"/>
        </w:rPr>
        <w:t>suahelicus</w:t>
      </w:r>
      <w:proofErr w:type="spellEnd"/>
      <w:r w:rsidR="00A33195" w:rsidRPr="00414DE8">
        <w:rPr>
          <w:rFonts w:ascii="Archivo" w:hAnsi="Archivo" w:cs="Archivo"/>
          <w:i/>
          <w:iCs/>
          <w:sz w:val="20"/>
          <w:szCs w:val="20"/>
        </w:rPr>
        <w:t xml:space="preserve"> (</w:t>
      </w:r>
      <w:r w:rsidR="00C947F0" w:rsidRPr="00414DE8">
        <w:rPr>
          <w:rFonts w:ascii="Archivo" w:hAnsi="Archivo" w:cs="Archivo"/>
          <w:b/>
          <w:bCs/>
          <w:sz w:val="20"/>
          <w:szCs w:val="20"/>
        </w:rPr>
        <w:t>BOX 1</w:t>
      </w:r>
      <w:r w:rsidR="00A33195" w:rsidRPr="00414DE8">
        <w:rPr>
          <w:rFonts w:ascii="Archivo" w:hAnsi="Archivo" w:cs="Archivo"/>
          <w:sz w:val="20"/>
          <w:szCs w:val="20"/>
        </w:rPr>
        <w:t>).</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CellMar>
          <w:bottom w:w="85" w:type="dxa"/>
        </w:tblCellMar>
        <w:tblLook w:val="04A0" w:firstRow="1" w:lastRow="0" w:firstColumn="1" w:lastColumn="0" w:noHBand="0" w:noVBand="1"/>
      </w:tblPr>
      <w:tblGrid>
        <w:gridCol w:w="8996"/>
      </w:tblGrid>
      <w:tr w:rsidR="00F31CF4" w:rsidRPr="00C947F0" w14:paraId="3C17D2E7" w14:textId="77777777" w:rsidTr="00B51799">
        <w:trPr>
          <w:trHeight w:val="4908"/>
        </w:trPr>
        <w:tc>
          <w:tcPr>
            <w:tcW w:w="8996" w:type="dxa"/>
          </w:tcPr>
          <w:p w14:paraId="4EE9E2FC" w14:textId="77777777" w:rsidR="00F31CF4" w:rsidRPr="00C947F0" w:rsidRDefault="00F31CF4" w:rsidP="008B130B">
            <w:pPr>
              <w:pStyle w:val="Heading5"/>
              <w:spacing w:line="276" w:lineRule="auto"/>
              <w:rPr>
                <w:rFonts w:ascii="Archivo" w:hAnsi="Archivo"/>
                <w:sz w:val="18"/>
                <w:szCs w:val="18"/>
              </w:rPr>
            </w:pPr>
            <w:r w:rsidRPr="00C947F0">
              <w:rPr>
                <w:rFonts w:ascii="Archivo" w:hAnsi="Archivo"/>
                <w:sz w:val="18"/>
                <w:szCs w:val="18"/>
              </w:rPr>
              <w:lastRenderedPageBreak/>
              <w:t>BOX 1: Identification of the Cape Parrot and the Grey-headed Parrot</w:t>
            </w:r>
          </w:p>
          <w:p w14:paraId="7DB5C971" w14:textId="46A85B89" w:rsidR="00F31CF4" w:rsidRPr="00C947F0" w:rsidRDefault="00F31CF4" w:rsidP="008B130B">
            <w:pPr>
              <w:rPr>
                <w:rFonts w:ascii="Archivo" w:hAnsi="Archivo"/>
                <w:sz w:val="18"/>
                <w:szCs w:val="18"/>
              </w:rPr>
            </w:pPr>
            <w:r w:rsidRPr="00C947F0">
              <w:rPr>
                <w:rFonts w:ascii="Archivo" w:hAnsi="Archivo"/>
                <w:sz w:val="18"/>
                <w:szCs w:val="18"/>
              </w:rPr>
              <w:t>Morphological similarities between the Cape Parrot (</w:t>
            </w:r>
            <w:proofErr w:type="spellStart"/>
            <w:r w:rsidRPr="00C947F0">
              <w:rPr>
                <w:rFonts w:ascii="Archivo" w:hAnsi="Archivo"/>
                <w:i/>
                <w:iCs/>
                <w:sz w:val="18"/>
                <w:szCs w:val="18"/>
              </w:rPr>
              <w:t>Poicephalus</w:t>
            </w:r>
            <w:proofErr w:type="spellEnd"/>
            <w:r w:rsidRPr="00C947F0">
              <w:rPr>
                <w:rFonts w:ascii="Archivo" w:hAnsi="Archivo"/>
                <w:i/>
                <w:iCs/>
                <w:sz w:val="18"/>
                <w:szCs w:val="18"/>
              </w:rPr>
              <w:t xml:space="preserve"> robustus</w:t>
            </w:r>
            <w:r w:rsidRPr="00C947F0">
              <w:rPr>
                <w:rFonts w:ascii="Archivo" w:hAnsi="Archivo"/>
                <w:sz w:val="18"/>
                <w:szCs w:val="18"/>
              </w:rPr>
              <w:t>) and the Grey-headed Parrot (</w:t>
            </w:r>
            <w:proofErr w:type="spellStart"/>
            <w:r w:rsidRPr="00C947F0">
              <w:rPr>
                <w:rFonts w:ascii="Archivo" w:hAnsi="Archivo"/>
                <w:i/>
                <w:iCs/>
                <w:sz w:val="18"/>
                <w:szCs w:val="18"/>
              </w:rPr>
              <w:t>Poicephalus</w:t>
            </w:r>
            <w:proofErr w:type="spellEnd"/>
            <w:r w:rsidRPr="00C947F0">
              <w:rPr>
                <w:rFonts w:ascii="Archivo" w:hAnsi="Archivo"/>
                <w:i/>
                <w:iCs/>
                <w:sz w:val="18"/>
                <w:szCs w:val="18"/>
              </w:rPr>
              <w:t xml:space="preserve"> </w:t>
            </w:r>
            <w:proofErr w:type="spellStart"/>
            <w:r w:rsidRPr="00C947F0">
              <w:rPr>
                <w:rFonts w:ascii="Archivo" w:hAnsi="Archivo"/>
                <w:i/>
                <w:iCs/>
                <w:sz w:val="18"/>
                <w:szCs w:val="18"/>
              </w:rPr>
              <w:t>fuscicollis</w:t>
            </w:r>
            <w:proofErr w:type="spellEnd"/>
            <w:r w:rsidRPr="00C947F0">
              <w:rPr>
                <w:rFonts w:ascii="Archivo" w:hAnsi="Archivo"/>
                <w:i/>
                <w:iCs/>
                <w:sz w:val="18"/>
                <w:szCs w:val="18"/>
              </w:rPr>
              <w:t xml:space="preserve"> </w:t>
            </w:r>
            <w:proofErr w:type="spellStart"/>
            <w:r w:rsidRPr="00C947F0">
              <w:rPr>
                <w:rFonts w:ascii="Archivo" w:hAnsi="Archivo"/>
                <w:i/>
                <w:iCs/>
                <w:sz w:val="18"/>
                <w:szCs w:val="18"/>
              </w:rPr>
              <w:t>suahelicus</w:t>
            </w:r>
            <w:proofErr w:type="spellEnd"/>
            <w:r w:rsidRPr="00C947F0">
              <w:rPr>
                <w:rFonts w:ascii="Archivo" w:hAnsi="Archivo"/>
                <w:sz w:val="18"/>
                <w:szCs w:val="18"/>
              </w:rPr>
              <w:t xml:space="preserve">) make distinguishing the two species challenging. The similarities are such that the Cape Parrot was previously considered a subspecies of </w:t>
            </w:r>
            <w:r w:rsidRPr="00C947F0">
              <w:rPr>
                <w:rFonts w:ascii="Archivo" w:hAnsi="Archivo"/>
                <w:i/>
                <w:iCs/>
                <w:sz w:val="18"/>
                <w:szCs w:val="18"/>
              </w:rPr>
              <w:t xml:space="preserve">P. </w:t>
            </w:r>
            <w:proofErr w:type="spellStart"/>
            <w:r w:rsidRPr="00C947F0">
              <w:rPr>
                <w:rFonts w:ascii="Archivo" w:hAnsi="Archivo"/>
                <w:i/>
                <w:sz w:val="18"/>
                <w:szCs w:val="18"/>
              </w:rPr>
              <w:t>fuscicollis</w:t>
            </w:r>
            <w:proofErr w:type="spellEnd"/>
            <w:r w:rsidRPr="00C947F0">
              <w:rPr>
                <w:rFonts w:ascii="Archivo" w:hAnsi="Archivo"/>
                <w:sz w:val="18"/>
                <w:szCs w:val="18"/>
              </w:rPr>
              <w:t xml:space="preserve">.  Whilst both species are Appendix II listed, the Cape Parrot is endemic to South Africa and considered Vulnerable, whereas </w:t>
            </w:r>
            <w:r w:rsidRPr="00C947F0">
              <w:rPr>
                <w:rFonts w:ascii="Archivo" w:hAnsi="Archivo"/>
                <w:i/>
                <w:iCs/>
                <w:sz w:val="18"/>
                <w:szCs w:val="18"/>
              </w:rPr>
              <w:t>P.</w:t>
            </w:r>
            <w:r w:rsidRPr="00C947F0">
              <w:rPr>
                <w:rFonts w:ascii="Archivo" w:hAnsi="Archivo"/>
                <w:sz w:val="18"/>
                <w:szCs w:val="18"/>
              </w:rPr>
              <w:t xml:space="preserve"> </w:t>
            </w:r>
            <w:proofErr w:type="spellStart"/>
            <w:r w:rsidRPr="00C947F0">
              <w:rPr>
                <w:rFonts w:ascii="Archivo" w:hAnsi="Archivo"/>
                <w:i/>
                <w:iCs/>
                <w:sz w:val="18"/>
                <w:szCs w:val="18"/>
              </w:rPr>
              <w:t>fusicollis</w:t>
            </w:r>
            <w:proofErr w:type="spellEnd"/>
            <w:r w:rsidRPr="00C947F0">
              <w:rPr>
                <w:rFonts w:ascii="Archivo" w:hAnsi="Archivo"/>
                <w:i/>
                <w:iCs/>
                <w:sz w:val="18"/>
                <w:szCs w:val="18"/>
              </w:rPr>
              <w:t xml:space="preserve"> spp. </w:t>
            </w:r>
            <w:r w:rsidRPr="00C947F0">
              <w:rPr>
                <w:rFonts w:ascii="Archivo" w:hAnsi="Archivo"/>
                <w:sz w:val="18"/>
                <w:szCs w:val="18"/>
              </w:rPr>
              <w:t>are distributed across a much wider range and are classified as Least Concern by IUCN.  This has clear implications for the preparation of an NDF.</w:t>
            </w:r>
          </w:p>
          <w:p w14:paraId="440C5054" w14:textId="77777777" w:rsidR="00F31CF4" w:rsidRPr="00C947F0" w:rsidRDefault="00F31CF4" w:rsidP="008B130B">
            <w:pPr>
              <w:rPr>
                <w:rFonts w:ascii="Archivo" w:hAnsi="Archivo"/>
                <w:sz w:val="18"/>
                <w:szCs w:val="18"/>
              </w:rPr>
            </w:pPr>
            <w:r w:rsidRPr="00C947F0">
              <w:rPr>
                <w:rFonts w:ascii="Archivo" w:hAnsi="Archivo"/>
                <w:sz w:val="18"/>
                <w:szCs w:val="18"/>
              </w:rPr>
              <w:t>To support correct identification, the South African National Biodiversity Institute (SANBI) has compiled the ‘Cape Parrot Identification Guide’ on behalf of the Scientific Authority of South Africa.  This includes,</w:t>
            </w:r>
          </w:p>
          <w:p w14:paraId="27728946" w14:textId="3E75E453" w:rsidR="00F31CF4" w:rsidRPr="00C947F0" w:rsidRDefault="00F31CF4" w:rsidP="008B130B">
            <w:pPr>
              <w:rPr>
                <w:rFonts w:ascii="Archivo" w:hAnsi="Archivo"/>
                <w:sz w:val="18"/>
                <w:szCs w:val="18"/>
              </w:rPr>
            </w:pPr>
            <w:r w:rsidRPr="00C947F0">
              <w:rPr>
                <w:rFonts w:ascii="Archivo" w:hAnsi="Archivo"/>
                <w:sz w:val="18"/>
                <w:szCs w:val="18"/>
              </w:rPr>
              <w:t xml:space="preserve">1. A brief description of the two species, </w:t>
            </w:r>
          </w:p>
          <w:p w14:paraId="70090557" w14:textId="2416D0EC" w:rsidR="00F31CF4" w:rsidRPr="00C947F0" w:rsidRDefault="00F31CF4" w:rsidP="008B130B">
            <w:pPr>
              <w:rPr>
                <w:rFonts w:ascii="Archivo" w:hAnsi="Archivo"/>
                <w:sz w:val="18"/>
                <w:szCs w:val="18"/>
              </w:rPr>
            </w:pPr>
            <w:r w:rsidRPr="00C947F0">
              <w:rPr>
                <w:rFonts w:ascii="Archivo" w:hAnsi="Archivo"/>
                <w:sz w:val="18"/>
                <w:szCs w:val="18"/>
              </w:rPr>
              <w:t xml:space="preserve">2. Tables listing the main ecological, morphological and biological differences between the two species, </w:t>
            </w:r>
          </w:p>
          <w:p w14:paraId="251EBC50" w14:textId="02B9AD9F" w:rsidR="00F31CF4" w:rsidRPr="00C947F0" w:rsidRDefault="00F31CF4" w:rsidP="008B130B">
            <w:pPr>
              <w:rPr>
                <w:rFonts w:ascii="Archivo" w:hAnsi="Archivo"/>
                <w:sz w:val="18"/>
                <w:szCs w:val="18"/>
              </w:rPr>
            </w:pPr>
            <w:r w:rsidRPr="00C947F0">
              <w:rPr>
                <w:rFonts w:ascii="Archivo" w:hAnsi="Archivo"/>
                <w:sz w:val="18"/>
                <w:szCs w:val="18"/>
              </w:rPr>
              <w:t>3. Photographs of both sexes annotated to show the colour differences between the two species, and.</w:t>
            </w:r>
          </w:p>
          <w:p w14:paraId="272B1D82" w14:textId="3CCB44E3" w:rsidR="00F31CF4" w:rsidRPr="00C947F0" w:rsidRDefault="00C947F0" w:rsidP="008B130B">
            <w:pPr>
              <w:rPr>
                <w:rFonts w:ascii="Archivo" w:hAnsi="Archivo"/>
                <w:sz w:val="18"/>
                <w:szCs w:val="18"/>
              </w:rPr>
            </w:pPr>
            <w:r w:rsidRPr="00C947F0">
              <w:rPr>
                <w:rFonts w:ascii="Archivo" w:hAnsi="Archivo"/>
                <w:noProof/>
                <w:sz w:val="18"/>
                <w:szCs w:val="18"/>
              </w:rPr>
              <w:drawing>
                <wp:anchor distT="0" distB="0" distL="114300" distR="114300" simplePos="0" relativeHeight="251660288" behindDoc="0" locked="0" layoutInCell="1" allowOverlap="1" wp14:anchorId="72298444" wp14:editId="0DA2AAF9">
                  <wp:simplePos x="0" y="0"/>
                  <wp:positionH relativeFrom="margin">
                    <wp:posOffset>44450</wp:posOffset>
                  </wp:positionH>
                  <wp:positionV relativeFrom="margin">
                    <wp:posOffset>2606351</wp:posOffset>
                  </wp:positionV>
                  <wp:extent cx="5479506" cy="3298874"/>
                  <wp:effectExtent l="0" t="0" r="6985" b="0"/>
                  <wp:wrapSquare wrapText="bothSides"/>
                  <wp:docPr id="751424135" name="Picture 7514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79506" cy="3298874"/>
                          </a:xfrm>
                          <a:prstGeom prst="rect">
                            <a:avLst/>
                          </a:prstGeom>
                        </pic:spPr>
                      </pic:pic>
                    </a:graphicData>
                  </a:graphic>
                </wp:anchor>
              </w:drawing>
            </w:r>
            <w:r w:rsidR="00F31CF4" w:rsidRPr="00C947F0">
              <w:rPr>
                <w:rFonts w:ascii="Archivo" w:hAnsi="Archivo"/>
                <w:sz w:val="18"/>
                <w:szCs w:val="18"/>
              </w:rPr>
              <w:t xml:space="preserve"> 4. A colour palette to assist in recognising the various colours described.     </w:t>
            </w:r>
          </w:p>
        </w:tc>
      </w:tr>
      <w:tr w:rsidR="00F31CF4" w:rsidRPr="00C947F0" w14:paraId="512C17AC" w14:textId="77777777" w:rsidTr="00B51799">
        <w:tc>
          <w:tcPr>
            <w:tcW w:w="8996" w:type="dxa"/>
          </w:tcPr>
          <w:p w14:paraId="10BA2BB9" w14:textId="43680586" w:rsidR="00F31CF4" w:rsidRPr="00C947F0" w:rsidRDefault="00F31CF4" w:rsidP="008B130B">
            <w:pPr>
              <w:rPr>
                <w:rFonts w:ascii="Archivo" w:hAnsi="Archivo"/>
                <w:noProof/>
                <w:sz w:val="18"/>
                <w:szCs w:val="18"/>
              </w:rPr>
            </w:pPr>
            <w:r w:rsidRPr="00C947F0">
              <w:rPr>
                <w:rFonts w:ascii="Archivo" w:hAnsi="Archivo"/>
                <w:sz w:val="18"/>
                <w:szCs w:val="18"/>
              </w:rPr>
              <w:t>Male Cape parrot (</w:t>
            </w:r>
            <w:r w:rsidRPr="00C947F0">
              <w:rPr>
                <w:rFonts w:ascii="Archivo" w:hAnsi="Archivo"/>
                <w:i/>
                <w:iCs/>
                <w:sz w:val="18"/>
                <w:szCs w:val="18"/>
              </w:rPr>
              <w:t xml:space="preserve">P. </w:t>
            </w:r>
            <w:proofErr w:type="gramStart"/>
            <w:r w:rsidRPr="00C947F0">
              <w:rPr>
                <w:rFonts w:ascii="Archivo" w:hAnsi="Archivo"/>
                <w:i/>
                <w:iCs/>
                <w:sz w:val="18"/>
                <w:szCs w:val="18"/>
              </w:rPr>
              <w:t>robustus</w:t>
            </w:r>
            <w:r w:rsidRPr="00C947F0">
              <w:rPr>
                <w:rFonts w:ascii="Archivo" w:hAnsi="Archivo"/>
                <w:sz w:val="18"/>
                <w:szCs w:val="18"/>
              </w:rPr>
              <w:t>)(</w:t>
            </w:r>
            <w:proofErr w:type="gramEnd"/>
            <w:r w:rsidRPr="00C947F0">
              <w:rPr>
                <w:rFonts w:ascii="Archivo" w:hAnsi="Archivo"/>
                <w:sz w:val="18"/>
                <w:szCs w:val="18"/>
              </w:rPr>
              <w:t>left) and male grey-headed parrot (</w:t>
            </w:r>
            <w:r w:rsidRPr="00C947F0">
              <w:rPr>
                <w:rFonts w:ascii="Archivo" w:hAnsi="Archivo"/>
                <w:i/>
                <w:iCs/>
                <w:sz w:val="18"/>
                <w:szCs w:val="18"/>
              </w:rPr>
              <w:t xml:space="preserve">P. </w:t>
            </w:r>
            <w:proofErr w:type="spellStart"/>
            <w:r w:rsidRPr="00C947F0">
              <w:rPr>
                <w:rFonts w:ascii="Archivo" w:hAnsi="Archivo"/>
                <w:i/>
                <w:iCs/>
                <w:sz w:val="18"/>
                <w:szCs w:val="18"/>
              </w:rPr>
              <w:t>fusicollis</w:t>
            </w:r>
            <w:proofErr w:type="spellEnd"/>
            <w:r w:rsidRPr="00C947F0">
              <w:rPr>
                <w:rFonts w:ascii="Archivo" w:hAnsi="Archivo"/>
                <w:i/>
                <w:iCs/>
                <w:sz w:val="18"/>
                <w:szCs w:val="18"/>
              </w:rPr>
              <w:t xml:space="preserve"> </w:t>
            </w:r>
            <w:proofErr w:type="spellStart"/>
            <w:r w:rsidRPr="00C947F0">
              <w:rPr>
                <w:rFonts w:ascii="Archivo" w:hAnsi="Archivo"/>
                <w:i/>
                <w:iCs/>
                <w:sz w:val="18"/>
                <w:szCs w:val="18"/>
              </w:rPr>
              <w:t>suahelicus</w:t>
            </w:r>
            <w:proofErr w:type="spellEnd"/>
            <w:r w:rsidRPr="00C947F0">
              <w:rPr>
                <w:rFonts w:ascii="Archivo" w:hAnsi="Archivo"/>
                <w:i/>
                <w:iCs/>
                <w:sz w:val="18"/>
                <w:szCs w:val="18"/>
              </w:rPr>
              <w:t>)(</w:t>
            </w:r>
            <w:r w:rsidRPr="00C947F0">
              <w:rPr>
                <w:rFonts w:ascii="Archivo" w:hAnsi="Archivo"/>
                <w:sz w:val="18"/>
                <w:szCs w:val="18"/>
              </w:rPr>
              <w:t>(right)</w:t>
            </w:r>
          </w:p>
        </w:tc>
      </w:tr>
    </w:tbl>
    <w:p w14:paraId="2394F58E" w14:textId="77777777" w:rsidR="00F31CF4" w:rsidRPr="00C947F0" w:rsidRDefault="00F31CF4" w:rsidP="00F31CF4">
      <w:pPr>
        <w:pStyle w:val="Heading3"/>
        <w:spacing w:line="276" w:lineRule="auto"/>
        <w:rPr>
          <w:rFonts w:ascii="Archivo" w:eastAsia="Arial" w:hAnsi="Archivo"/>
          <w:sz w:val="20"/>
          <w:szCs w:val="20"/>
          <w:lang w:eastAsia="en-GB"/>
        </w:rPr>
      </w:pPr>
      <w:bookmarkStart w:id="3" w:name="_Toc140780383"/>
    </w:p>
    <w:p w14:paraId="27241A32" w14:textId="77777777" w:rsidR="00B51799" w:rsidRPr="00BA419B" w:rsidRDefault="00B51799" w:rsidP="00B51799">
      <w:pPr>
        <w:pStyle w:val="Heading5"/>
        <w:spacing w:before="0" w:after="240"/>
        <w:ind w:left="720" w:firstLine="720"/>
        <w:jc w:val="both"/>
        <w:rPr>
          <w:rFonts w:ascii="Archivo" w:hAnsi="Archivo" w:cs="Archivo"/>
        </w:rPr>
      </w:pPr>
      <w:bookmarkStart w:id="4" w:name="_Toc140780386"/>
      <w:bookmarkEnd w:id="3"/>
      <w:r w:rsidRPr="00BA419B">
        <w:rPr>
          <w:rFonts w:ascii="Archivo" w:hAnsi="Archivo" w:cs="Archivo"/>
        </w:rPr>
        <w:t xml:space="preserve">2.1.4. Identification of parts and derivatives </w:t>
      </w:r>
    </w:p>
    <w:p w14:paraId="2F0DAC08" w14:textId="77777777" w:rsidR="00B51799" w:rsidRPr="00414DE8" w:rsidRDefault="00B51799" w:rsidP="00034CEB">
      <w:pPr>
        <w:spacing w:after="240"/>
        <w:jc w:val="both"/>
        <w:rPr>
          <w:rFonts w:ascii="Archivo" w:hAnsi="Archivo" w:cs="Archivo"/>
          <w:sz w:val="20"/>
          <w:szCs w:val="20"/>
        </w:rPr>
      </w:pPr>
      <w:r w:rsidRPr="00414DE8">
        <w:rPr>
          <w:rFonts w:ascii="Archivo" w:hAnsi="Archivo" w:cs="Archivo"/>
          <w:sz w:val="20"/>
          <w:szCs w:val="20"/>
        </w:rPr>
        <w:t>Resolution Conf.9.6 (Rev. CoP19) provides guidance on the identification of readily recognizable parts and derivatives.</w:t>
      </w:r>
      <w:r w:rsidRPr="00414DE8">
        <w:rPr>
          <w:rStyle w:val="FootnoteReference"/>
          <w:rFonts w:ascii="Archivo" w:hAnsi="Archivo" w:cs="Archivo"/>
          <w:sz w:val="20"/>
          <w:szCs w:val="20"/>
        </w:rPr>
        <w:footnoteReference w:id="12"/>
      </w:r>
    </w:p>
    <w:p w14:paraId="0E28E75C" w14:textId="77777777" w:rsidR="00034CEB" w:rsidRPr="00B51799" w:rsidRDefault="00034CEB" w:rsidP="00034CEB">
      <w:pPr>
        <w:pStyle w:val="Heading2"/>
        <w:jc w:val="both"/>
        <w:rPr>
          <w:rFonts w:ascii="Archivo" w:hAnsi="Archivo"/>
          <w:color w:val="auto"/>
          <w:sz w:val="20"/>
          <w:szCs w:val="20"/>
        </w:rPr>
      </w:pPr>
      <w:r w:rsidRPr="00B51799">
        <w:rPr>
          <w:rFonts w:ascii="Archivo" w:hAnsi="Archivo" w:cs="Archivo"/>
          <w:color w:val="auto"/>
          <w:sz w:val="20"/>
          <w:szCs w:val="20"/>
        </w:rPr>
        <w:lastRenderedPageBreak/>
        <w:t>For birds, the identification of derivatives (any processed part of an animal or plant), which may include carvings,</w:t>
      </w:r>
      <w:r>
        <w:rPr>
          <w:rFonts w:ascii="Archivo" w:hAnsi="Archivo" w:cs="Archivo"/>
          <w:color w:val="auto"/>
          <w:sz w:val="20"/>
          <w:szCs w:val="20"/>
        </w:rPr>
        <w:t xml:space="preserve"> </w:t>
      </w:r>
      <w:proofErr w:type="gramStart"/>
      <w:r w:rsidRPr="00B51799">
        <w:rPr>
          <w:rFonts w:ascii="Archivo" w:hAnsi="Archivo" w:cs="Archivo"/>
          <w:color w:val="auto"/>
          <w:sz w:val="20"/>
          <w:szCs w:val="20"/>
        </w:rPr>
        <w:t>feathers</w:t>
      </w:r>
      <w:proofErr w:type="gramEnd"/>
      <w:r w:rsidRPr="00B51799">
        <w:rPr>
          <w:rFonts w:ascii="Archivo" w:hAnsi="Archivo" w:cs="Archivo"/>
          <w:color w:val="auto"/>
          <w:sz w:val="20"/>
          <w:szCs w:val="20"/>
        </w:rPr>
        <w:t xml:space="preserve"> and claws, to the species level can be challenging. Whilst these do not constitute </w:t>
      </w:r>
      <w:proofErr w:type="gramStart"/>
      <w:r w:rsidRPr="00B51799">
        <w:rPr>
          <w:rFonts w:ascii="Archivo" w:hAnsi="Archivo" w:cs="Archivo"/>
          <w:color w:val="auto"/>
          <w:sz w:val="20"/>
          <w:szCs w:val="20"/>
        </w:rPr>
        <w:t>the</w:t>
      </w:r>
      <w:proofErr w:type="gramEnd"/>
      <w:r w:rsidRPr="00B51799">
        <w:rPr>
          <w:rFonts w:ascii="Archivo" w:hAnsi="Archivo" w:cs="Archivo"/>
          <w:color w:val="auto"/>
          <w:sz w:val="20"/>
          <w:szCs w:val="20"/>
        </w:rPr>
        <w:t xml:space="preserve"> major part of the international trade in birds, the proportion is significant, particularly in specimens for medicinal purposes. Identification must therefore rely on the accompanying documentation, packaging, </w:t>
      </w:r>
      <w:proofErr w:type="gramStart"/>
      <w:r w:rsidRPr="00B51799">
        <w:rPr>
          <w:rFonts w:ascii="Archivo" w:hAnsi="Archivo" w:cs="Archivo"/>
          <w:color w:val="auto"/>
          <w:sz w:val="20"/>
          <w:szCs w:val="20"/>
        </w:rPr>
        <w:t>mark</w:t>
      </w:r>
      <w:proofErr w:type="gramEnd"/>
      <w:r w:rsidRPr="00B51799">
        <w:rPr>
          <w:rFonts w:ascii="Archivo" w:hAnsi="Archivo" w:cs="Archivo"/>
          <w:color w:val="auto"/>
          <w:sz w:val="20"/>
          <w:szCs w:val="20"/>
        </w:rPr>
        <w:t xml:space="preserve"> or label as outlined in Conf. 9.6 (Rev. CoP 19), although such information should not necessarily be taken at face value.</w:t>
      </w:r>
    </w:p>
    <w:p w14:paraId="3854624F" w14:textId="77777777" w:rsidR="00C947F0" w:rsidRPr="00B51799" w:rsidRDefault="00C947F0" w:rsidP="00B51799">
      <w:pPr>
        <w:pStyle w:val="Heading2"/>
        <w:jc w:val="both"/>
        <w:rPr>
          <w:rFonts w:ascii="Archivo" w:hAnsi="Archivo"/>
          <w:color w:val="auto"/>
          <w:sz w:val="20"/>
          <w:szCs w:val="20"/>
        </w:rPr>
      </w:pPr>
    </w:p>
    <w:p w14:paraId="7724BF05" w14:textId="6C6BB57A" w:rsidR="00F31CF4" w:rsidRPr="00C947F0" w:rsidRDefault="00F31CF4" w:rsidP="00C947F0">
      <w:pPr>
        <w:pStyle w:val="Heading2"/>
        <w:numPr>
          <w:ilvl w:val="1"/>
          <w:numId w:val="17"/>
        </w:numPr>
        <w:rPr>
          <w:rFonts w:ascii="Archivo" w:hAnsi="Archivo"/>
          <w:b/>
          <w:bCs/>
          <w:sz w:val="24"/>
          <w:szCs w:val="24"/>
        </w:rPr>
      </w:pPr>
      <w:r w:rsidRPr="00C947F0">
        <w:rPr>
          <w:rFonts w:ascii="Archivo" w:hAnsi="Archivo"/>
          <w:b/>
          <w:bCs/>
          <w:sz w:val="24"/>
          <w:szCs w:val="24"/>
        </w:rPr>
        <w:t>Conduct</w:t>
      </w:r>
      <w:r w:rsidR="0012383D">
        <w:rPr>
          <w:rFonts w:ascii="Archivo" w:hAnsi="Archivo"/>
          <w:b/>
          <w:bCs/>
          <w:sz w:val="24"/>
          <w:szCs w:val="24"/>
        </w:rPr>
        <w:t>ing</w:t>
      </w:r>
      <w:r w:rsidRPr="00C947F0">
        <w:rPr>
          <w:rFonts w:ascii="Archivo" w:hAnsi="Archivo"/>
          <w:b/>
          <w:bCs/>
          <w:sz w:val="24"/>
          <w:szCs w:val="24"/>
        </w:rPr>
        <w:t xml:space="preserve"> a </w:t>
      </w:r>
      <w:bookmarkEnd w:id="4"/>
      <w:r w:rsidRPr="00C947F0">
        <w:rPr>
          <w:rFonts w:ascii="Archivo" w:hAnsi="Archivo"/>
          <w:b/>
          <w:bCs/>
          <w:sz w:val="24"/>
          <w:szCs w:val="24"/>
        </w:rPr>
        <w:t>Simple NDF</w:t>
      </w:r>
    </w:p>
    <w:p w14:paraId="3EDD72DD" w14:textId="77777777" w:rsidR="00792BBC" w:rsidRPr="00C947F0" w:rsidRDefault="00792BBC" w:rsidP="00C947F0">
      <w:pPr>
        <w:rPr>
          <w:rFonts w:ascii="Archivo" w:hAnsi="Archivo"/>
          <w:sz w:val="20"/>
          <w:szCs w:val="20"/>
        </w:rPr>
      </w:pPr>
    </w:p>
    <w:p w14:paraId="21782A48" w14:textId="499BCC48" w:rsidR="00F31CF4" w:rsidRPr="00C947F0" w:rsidRDefault="00F31CF4" w:rsidP="009C4801">
      <w:pPr>
        <w:jc w:val="both"/>
        <w:rPr>
          <w:rFonts w:ascii="Archivo" w:hAnsi="Archivo"/>
          <w:sz w:val="20"/>
          <w:szCs w:val="20"/>
        </w:rPr>
      </w:pPr>
      <w:r w:rsidRPr="00C947F0">
        <w:rPr>
          <w:rFonts w:ascii="Archivo" w:hAnsi="Archivo"/>
          <w:sz w:val="20"/>
          <w:szCs w:val="20"/>
        </w:rPr>
        <w:t xml:space="preserve">This section concerns the application of the Simple NDF evaluation approach to birds.  The following sections provide more detail on how to address common issues associated with making Bird NDFs, alongside the rationale for the scoring criteria outlined in Table 2. It has been arranged to follow the compilation of information according to the NDF process outlined in the </w:t>
      </w:r>
      <w:r w:rsidR="00C947F0">
        <w:rPr>
          <w:rFonts w:ascii="Archivo" w:hAnsi="Archivo"/>
          <w:sz w:val="20"/>
          <w:szCs w:val="20"/>
        </w:rPr>
        <w:t>Module 2</w:t>
      </w:r>
      <w:r w:rsidRPr="00C947F0">
        <w:rPr>
          <w:rFonts w:ascii="Archivo" w:hAnsi="Archivo"/>
          <w:sz w:val="20"/>
          <w:szCs w:val="20"/>
        </w:rPr>
        <w:t>.</w:t>
      </w:r>
    </w:p>
    <w:p w14:paraId="47E5D124" w14:textId="77777777" w:rsidR="00F31CF4" w:rsidRPr="00C947F0" w:rsidRDefault="00F31CF4" w:rsidP="00F31CF4">
      <w:pPr>
        <w:spacing w:after="0"/>
        <w:rPr>
          <w:rFonts w:ascii="Archivo" w:hAnsi="Archivo"/>
          <w:sz w:val="20"/>
          <w:szCs w:val="20"/>
        </w:rPr>
      </w:pPr>
    </w:p>
    <w:p w14:paraId="5695343C" w14:textId="77777777" w:rsidR="00F31CF4" w:rsidRPr="00C947F0" w:rsidRDefault="00F31CF4" w:rsidP="00F31CF4">
      <w:pPr>
        <w:spacing w:after="0"/>
        <w:rPr>
          <w:rFonts w:ascii="Archivo" w:hAnsi="Archivo"/>
          <w:sz w:val="20"/>
          <w:szCs w:val="20"/>
        </w:rPr>
      </w:pPr>
      <w:r w:rsidRPr="00C947F0">
        <w:rPr>
          <w:rFonts w:ascii="Archivo" w:hAnsi="Archivo"/>
          <w:sz w:val="20"/>
          <w:szCs w:val="20"/>
        </w:rPr>
        <w:t>As a general rule all three criteria can be considered as sitting across a gradient, as follows:</w:t>
      </w:r>
    </w:p>
    <w:p w14:paraId="3501B9B0" w14:textId="77777777" w:rsidR="00F31CF4" w:rsidRPr="00C947F0" w:rsidRDefault="00F31CF4" w:rsidP="00F31CF4">
      <w:pPr>
        <w:spacing w:after="0"/>
        <w:rPr>
          <w:rFonts w:ascii="Archivo" w:hAnsi="Archivo"/>
          <w:sz w:val="20"/>
          <w:szCs w:val="20"/>
        </w:rPr>
      </w:pPr>
    </w:p>
    <w:tbl>
      <w:tblPr>
        <w:tblStyle w:val="TableGrid"/>
        <w:tblW w:w="9493" w:type="dxa"/>
        <w:tblBorders>
          <w:insideH w:val="none" w:sz="0" w:space="0" w:color="auto"/>
          <w:insideV w:val="none" w:sz="0" w:space="0" w:color="auto"/>
        </w:tblBorders>
        <w:tblLook w:val="04A0" w:firstRow="1" w:lastRow="0" w:firstColumn="1" w:lastColumn="0" w:noHBand="0" w:noVBand="1"/>
      </w:tblPr>
      <w:tblGrid>
        <w:gridCol w:w="3402"/>
        <w:gridCol w:w="2689"/>
        <w:gridCol w:w="3402"/>
      </w:tblGrid>
      <w:tr w:rsidR="00F31CF4" w:rsidRPr="00C947F0" w14:paraId="362E75B3" w14:textId="77777777" w:rsidTr="008B130B">
        <w:tc>
          <w:tcPr>
            <w:tcW w:w="9493" w:type="dxa"/>
            <w:gridSpan w:val="3"/>
            <w:tcBorders>
              <w:bottom w:val="single" w:sz="4" w:space="0" w:color="auto"/>
            </w:tcBorders>
          </w:tcPr>
          <w:p w14:paraId="1E3D7140" w14:textId="77777777" w:rsidR="00F31CF4" w:rsidRPr="00C947F0" w:rsidRDefault="00F31CF4" w:rsidP="008B130B">
            <w:pPr>
              <w:rPr>
                <w:rFonts w:ascii="Archivo" w:hAnsi="Archivo"/>
                <w:b/>
                <w:bCs/>
                <w:sz w:val="20"/>
                <w:szCs w:val="20"/>
              </w:rPr>
            </w:pPr>
            <w:r w:rsidRPr="00C947F0">
              <w:rPr>
                <w:rFonts w:ascii="Archivo" w:hAnsi="Archivo"/>
                <w:b/>
                <w:bCs/>
                <w:sz w:val="20"/>
                <w:szCs w:val="20"/>
              </w:rPr>
              <w:t>Life history trait gradients</w:t>
            </w:r>
          </w:p>
        </w:tc>
      </w:tr>
      <w:tr w:rsidR="00F31CF4" w:rsidRPr="00C947F0" w14:paraId="21064726" w14:textId="77777777" w:rsidTr="008B130B">
        <w:tc>
          <w:tcPr>
            <w:tcW w:w="3402" w:type="dxa"/>
            <w:tcBorders>
              <w:top w:val="single" w:sz="4" w:space="0" w:color="auto"/>
              <w:bottom w:val="nil"/>
            </w:tcBorders>
            <w:shd w:val="clear" w:color="auto" w:fill="FFC000"/>
          </w:tcPr>
          <w:p w14:paraId="2F661883" w14:textId="77777777" w:rsidR="00F31CF4" w:rsidRPr="00C947F0" w:rsidRDefault="00F31CF4" w:rsidP="008B130B">
            <w:pPr>
              <w:rPr>
                <w:rFonts w:ascii="Archivo" w:hAnsi="Archivo"/>
                <w:b/>
                <w:bCs/>
                <w:sz w:val="20"/>
                <w:szCs w:val="20"/>
              </w:rPr>
            </w:pPr>
            <w:r w:rsidRPr="00C947F0">
              <w:rPr>
                <w:rFonts w:ascii="Archivo" w:hAnsi="Archivo"/>
                <w:b/>
                <w:bCs/>
                <w:i/>
                <w:iCs/>
                <w:sz w:val="20"/>
                <w:szCs w:val="20"/>
              </w:rPr>
              <w:t>“K-selected” ‘Slow’</w:t>
            </w:r>
          </w:p>
        </w:tc>
        <w:tc>
          <w:tcPr>
            <w:tcW w:w="2689" w:type="dxa"/>
            <w:tcBorders>
              <w:top w:val="single" w:sz="4" w:space="0" w:color="auto"/>
              <w:bottom w:val="nil"/>
            </w:tcBorders>
            <w:shd w:val="clear" w:color="auto" w:fill="FFC000"/>
          </w:tcPr>
          <w:p w14:paraId="7AC7342D"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Slow-to-fast Continuum</w:t>
            </w:r>
          </w:p>
        </w:tc>
        <w:tc>
          <w:tcPr>
            <w:tcW w:w="3402" w:type="dxa"/>
            <w:tcBorders>
              <w:top w:val="single" w:sz="4" w:space="0" w:color="auto"/>
              <w:bottom w:val="nil"/>
            </w:tcBorders>
            <w:shd w:val="clear" w:color="auto" w:fill="FFC000"/>
          </w:tcPr>
          <w:p w14:paraId="47299357" w14:textId="77777777" w:rsidR="00F31CF4" w:rsidRPr="00C947F0" w:rsidRDefault="00F31CF4" w:rsidP="008B130B">
            <w:pPr>
              <w:rPr>
                <w:rFonts w:ascii="Archivo" w:hAnsi="Archivo"/>
                <w:b/>
                <w:bCs/>
                <w:sz w:val="20"/>
                <w:szCs w:val="20"/>
              </w:rPr>
            </w:pPr>
            <w:r w:rsidRPr="00C947F0">
              <w:rPr>
                <w:rFonts w:ascii="Archivo" w:hAnsi="Archivo"/>
                <w:b/>
                <w:bCs/>
                <w:sz w:val="20"/>
                <w:szCs w:val="20"/>
              </w:rPr>
              <w:t xml:space="preserve">                               “r-selected” ‘Fast’</w:t>
            </w:r>
          </w:p>
        </w:tc>
      </w:tr>
      <w:tr w:rsidR="00F31CF4" w:rsidRPr="00C947F0" w14:paraId="3205EF89" w14:textId="77777777" w:rsidTr="008B130B">
        <w:tc>
          <w:tcPr>
            <w:tcW w:w="3402" w:type="dxa"/>
            <w:tcBorders>
              <w:top w:val="nil"/>
              <w:bottom w:val="nil"/>
            </w:tcBorders>
          </w:tcPr>
          <w:p w14:paraId="08E44EC8"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8480" behindDoc="0" locked="0" layoutInCell="1" allowOverlap="1" wp14:anchorId="27083E34" wp14:editId="024727F6">
                      <wp:simplePos x="0" y="0"/>
                      <wp:positionH relativeFrom="column">
                        <wp:posOffset>1541145</wp:posOffset>
                      </wp:positionH>
                      <wp:positionV relativeFrom="paragraph">
                        <wp:posOffset>69850</wp:posOffset>
                      </wp:positionV>
                      <wp:extent cx="54000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40AF8106" id="_x0000_t32" coordsize="21600,21600" o:spt="32" o:oned="t" path="m,l21600,21600e" filled="f">
                      <v:path arrowok="t" fillok="f" o:connecttype="none"/>
                      <o:lock v:ext="edit" shapetype="t"/>
                    </v:shapetype>
                    <v:shape id="Straight Arrow Connector 20" o:spid="_x0000_s1026" type="#_x0000_t32" style="position:absolute;margin-left:121.35pt;margin-top:5.5pt;width:42.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 xml:space="preserve">Delayed </w:t>
            </w:r>
          </w:p>
        </w:tc>
        <w:tc>
          <w:tcPr>
            <w:tcW w:w="2689" w:type="dxa"/>
            <w:tcBorders>
              <w:top w:val="nil"/>
              <w:bottom w:val="nil"/>
            </w:tcBorders>
          </w:tcPr>
          <w:p w14:paraId="39AEF731"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Time to maturity</w:t>
            </w:r>
          </w:p>
        </w:tc>
        <w:tc>
          <w:tcPr>
            <w:tcW w:w="3402" w:type="dxa"/>
            <w:tcBorders>
              <w:top w:val="nil"/>
              <w:bottom w:val="nil"/>
            </w:tcBorders>
            <w:vAlign w:val="center"/>
          </w:tcPr>
          <w:p w14:paraId="084DF6E9" w14:textId="6A2B4B77" w:rsidR="00F31CF4" w:rsidRPr="00C947F0" w:rsidRDefault="003003CD"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3360" behindDoc="0" locked="0" layoutInCell="1" allowOverlap="1" wp14:anchorId="4D42572C" wp14:editId="2F9FA71F">
                      <wp:simplePos x="0" y="0"/>
                      <wp:positionH relativeFrom="column">
                        <wp:posOffset>-1270</wp:posOffset>
                      </wp:positionH>
                      <wp:positionV relativeFrom="paragraph">
                        <wp:posOffset>69850</wp:posOffset>
                      </wp:positionV>
                      <wp:extent cx="539750" cy="0"/>
                      <wp:effectExtent l="0" t="76200" r="12700" b="95250"/>
                      <wp:wrapNone/>
                      <wp:docPr id="14" name="Straight Arrow Connector 14"/>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BC71A2" id="_x0000_t32" coordsize="21600,21600" o:spt="32" o:oned="t" path="m,l21600,21600e" filled="f">
                      <v:path arrowok="t" fillok="f" o:connecttype="none"/>
                      <o:lock v:ext="edit" shapetype="t"/>
                    </v:shapetype>
                    <v:shape id="Straight Arrow Connector 14" o:spid="_x0000_s1026" type="#_x0000_t32" style="position:absolute;margin-left:-.1pt;margin-top:5.5pt;width:4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" strokecolor="black [3200]" strokeweight=".5pt">
                      <v:stroke endarrow="block" joinstyle="miter"/>
                    </v:shape>
                  </w:pict>
                </mc:Fallback>
              </mc:AlternateContent>
            </w:r>
            <w:r w:rsidR="00F31CF4" w:rsidRPr="00C947F0">
              <w:rPr>
                <w:rFonts w:ascii="Archivo" w:hAnsi="Archivo"/>
                <w:sz w:val="20"/>
                <w:szCs w:val="20"/>
              </w:rPr>
              <w:t>Rapid</w:t>
            </w:r>
          </w:p>
        </w:tc>
      </w:tr>
      <w:tr w:rsidR="00F31CF4" w:rsidRPr="00C947F0" w14:paraId="017A4705" w14:textId="77777777" w:rsidTr="008B130B">
        <w:tc>
          <w:tcPr>
            <w:tcW w:w="3402" w:type="dxa"/>
            <w:tcBorders>
              <w:top w:val="nil"/>
              <w:bottom w:val="nil"/>
            </w:tcBorders>
          </w:tcPr>
          <w:p w14:paraId="28C318A9"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9504" behindDoc="0" locked="0" layoutInCell="1" allowOverlap="1" wp14:anchorId="61875E7C" wp14:editId="2140A7D8">
                      <wp:simplePos x="0" y="0"/>
                      <wp:positionH relativeFrom="column">
                        <wp:posOffset>1543050</wp:posOffset>
                      </wp:positionH>
                      <wp:positionV relativeFrom="paragraph">
                        <wp:posOffset>79375</wp:posOffset>
                      </wp:positionV>
                      <wp:extent cx="540000"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C5E6983" id="Straight Arrow Connector 21" o:spid="_x0000_s1026" type="#_x0000_t32" style="position:absolute;margin-left:121.5pt;margin-top:6.25pt;width:42.5pt;height:0;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Small</w:t>
            </w:r>
          </w:p>
        </w:tc>
        <w:tc>
          <w:tcPr>
            <w:tcW w:w="2689" w:type="dxa"/>
            <w:tcBorders>
              <w:top w:val="nil"/>
              <w:bottom w:val="nil"/>
            </w:tcBorders>
          </w:tcPr>
          <w:p w14:paraId="5F95E695"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Brood size</w:t>
            </w:r>
          </w:p>
        </w:tc>
        <w:tc>
          <w:tcPr>
            <w:tcW w:w="3402" w:type="dxa"/>
            <w:tcBorders>
              <w:top w:val="nil"/>
              <w:bottom w:val="nil"/>
            </w:tcBorders>
            <w:vAlign w:val="center"/>
          </w:tcPr>
          <w:p w14:paraId="14BBBE25" w14:textId="23BB6327" w:rsidR="00F31CF4" w:rsidRPr="00C947F0" w:rsidRDefault="003003CD"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4384" behindDoc="0" locked="0" layoutInCell="1" allowOverlap="1" wp14:anchorId="78A9930F" wp14:editId="1A24235F">
                      <wp:simplePos x="0" y="0"/>
                      <wp:positionH relativeFrom="column">
                        <wp:posOffset>1905</wp:posOffset>
                      </wp:positionH>
                      <wp:positionV relativeFrom="paragraph">
                        <wp:posOffset>87630</wp:posOffset>
                      </wp:positionV>
                      <wp:extent cx="539750" cy="0"/>
                      <wp:effectExtent l="0" t="76200" r="12700" b="95250"/>
                      <wp:wrapNone/>
                      <wp:docPr id="15" name="Straight Arrow Connector 15"/>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62BA" id="Straight Arrow Connector 15" o:spid="_x0000_s1026" type="#_x0000_t32" style="position:absolute;margin-left:.15pt;margin-top:6.9pt;width:4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" strokecolor="black [3200]" strokeweight=".5pt">
                      <v:stroke endarrow="block" joinstyle="miter"/>
                    </v:shape>
                  </w:pict>
                </mc:Fallback>
              </mc:AlternateContent>
            </w:r>
            <w:r w:rsidR="00F31CF4" w:rsidRPr="00C947F0">
              <w:rPr>
                <w:rFonts w:ascii="Archivo" w:hAnsi="Archivo"/>
                <w:sz w:val="20"/>
                <w:szCs w:val="20"/>
              </w:rPr>
              <w:t>Large</w:t>
            </w:r>
          </w:p>
        </w:tc>
      </w:tr>
      <w:tr w:rsidR="00F31CF4" w:rsidRPr="00C947F0" w14:paraId="5C28F137" w14:textId="77777777" w:rsidTr="008B130B">
        <w:tc>
          <w:tcPr>
            <w:tcW w:w="3402" w:type="dxa"/>
            <w:tcBorders>
              <w:top w:val="nil"/>
              <w:bottom w:val="single" w:sz="4" w:space="0" w:color="auto"/>
            </w:tcBorders>
          </w:tcPr>
          <w:p w14:paraId="4B03396C"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73600" behindDoc="0" locked="0" layoutInCell="1" allowOverlap="1" wp14:anchorId="4873D96B" wp14:editId="1F68B072">
                      <wp:simplePos x="0" y="0"/>
                      <wp:positionH relativeFrom="column">
                        <wp:posOffset>1543050</wp:posOffset>
                      </wp:positionH>
                      <wp:positionV relativeFrom="paragraph">
                        <wp:posOffset>80645</wp:posOffset>
                      </wp:positionV>
                      <wp:extent cx="540000"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F1A0786" id="Straight Arrow Connector 26" o:spid="_x0000_s1026" type="#_x0000_t32" style="position:absolute;margin-left:121.5pt;margin-top:6.35pt;width:42.5pt;height:0;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 xml:space="preserve">Infrequent &amp; </w:t>
            </w:r>
          </w:p>
          <w:p w14:paraId="55BEBD53" w14:textId="77777777" w:rsidR="00F31CF4" w:rsidRPr="00C947F0" w:rsidRDefault="00F31CF4" w:rsidP="008B130B">
            <w:pPr>
              <w:rPr>
                <w:rFonts w:ascii="Archivo" w:hAnsi="Archivo"/>
                <w:sz w:val="20"/>
                <w:szCs w:val="20"/>
              </w:rPr>
            </w:pPr>
            <w:r w:rsidRPr="00C947F0">
              <w:rPr>
                <w:rFonts w:ascii="Archivo" w:hAnsi="Archivo"/>
                <w:sz w:val="20"/>
                <w:szCs w:val="20"/>
              </w:rPr>
              <w:t>unpredictable</w:t>
            </w:r>
          </w:p>
        </w:tc>
        <w:tc>
          <w:tcPr>
            <w:tcW w:w="2689" w:type="dxa"/>
            <w:tcBorders>
              <w:top w:val="nil"/>
              <w:bottom w:val="single" w:sz="4" w:space="0" w:color="auto"/>
            </w:tcBorders>
          </w:tcPr>
          <w:p w14:paraId="1171FD56"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Frequency of reproduction</w:t>
            </w:r>
          </w:p>
        </w:tc>
        <w:tc>
          <w:tcPr>
            <w:tcW w:w="3402" w:type="dxa"/>
            <w:tcBorders>
              <w:top w:val="nil"/>
              <w:bottom w:val="single" w:sz="4" w:space="0" w:color="auto"/>
            </w:tcBorders>
            <w:vAlign w:val="center"/>
          </w:tcPr>
          <w:p w14:paraId="5D107A19" w14:textId="63F8D805" w:rsidR="00F31CF4" w:rsidRPr="00C947F0" w:rsidRDefault="003003CD"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5408" behindDoc="0" locked="0" layoutInCell="1" allowOverlap="1" wp14:anchorId="7D0CA8D3" wp14:editId="4FB2FB9C">
                      <wp:simplePos x="0" y="0"/>
                      <wp:positionH relativeFrom="column">
                        <wp:posOffset>-5715</wp:posOffset>
                      </wp:positionH>
                      <wp:positionV relativeFrom="paragraph">
                        <wp:posOffset>6985</wp:posOffset>
                      </wp:positionV>
                      <wp:extent cx="539750" cy="0"/>
                      <wp:effectExtent l="0" t="76200" r="12700" b="95250"/>
                      <wp:wrapNone/>
                      <wp:docPr id="16" name="Straight Arrow Connector 16"/>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FB062" id="Straight Arrow Connector 16" o:spid="_x0000_s1026" type="#_x0000_t32" style="position:absolute;margin-left:-.45pt;margin-top:.55pt;width:4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" strokecolor="black [3200]" strokeweight=".5pt">
                      <v:stroke endarrow="block" joinstyle="miter"/>
                    </v:shape>
                  </w:pict>
                </mc:Fallback>
              </mc:AlternateContent>
            </w:r>
            <w:r w:rsidR="00F31CF4" w:rsidRPr="00C947F0">
              <w:rPr>
                <w:rFonts w:ascii="Archivo" w:hAnsi="Archivo"/>
                <w:sz w:val="20"/>
                <w:szCs w:val="20"/>
              </w:rPr>
              <w:t>Frequent</w:t>
            </w:r>
          </w:p>
        </w:tc>
      </w:tr>
      <w:tr w:rsidR="00F31CF4" w:rsidRPr="00C947F0" w14:paraId="7487B85D" w14:textId="77777777" w:rsidTr="008B130B">
        <w:tc>
          <w:tcPr>
            <w:tcW w:w="3402" w:type="dxa"/>
            <w:tcBorders>
              <w:top w:val="single" w:sz="4" w:space="0" w:color="auto"/>
              <w:left w:val="nil"/>
              <w:bottom w:val="nil"/>
            </w:tcBorders>
          </w:tcPr>
          <w:p w14:paraId="29BAA68B" w14:textId="77777777" w:rsidR="00F31CF4" w:rsidRPr="00C947F0" w:rsidRDefault="00F31CF4" w:rsidP="008B130B">
            <w:pPr>
              <w:rPr>
                <w:rFonts w:ascii="Archivo" w:hAnsi="Archivo"/>
                <w:sz w:val="20"/>
                <w:szCs w:val="20"/>
              </w:rPr>
            </w:pPr>
          </w:p>
        </w:tc>
        <w:tc>
          <w:tcPr>
            <w:tcW w:w="2689" w:type="dxa"/>
            <w:tcBorders>
              <w:top w:val="single" w:sz="4" w:space="0" w:color="auto"/>
              <w:bottom w:val="single" w:sz="4" w:space="0" w:color="auto"/>
            </w:tcBorders>
          </w:tcPr>
          <w:p w14:paraId="7893FAFC" w14:textId="77777777" w:rsidR="00F31CF4" w:rsidRPr="00C947F0" w:rsidRDefault="00F31CF4" w:rsidP="008B130B">
            <w:pPr>
              <w:rPr>
                <w:rFonts w:ascii="Archivo" w:hAnsi="Archivo"/>
                <w:sz w:val="20"/>
                <w:szCs w:val="20"/>
              </w:rPr>
            </w:pPr>
          </w:p>
        </w:tc>
        <w:tc>
          <w:tcPr>
            <w:tcW w:w="3402" w:type="dxa"/>
            <w:tcBorders>
              <w:top w:val="single" w:sz="4" w:space="0" w:color="auto"/>
              <w:bottom w:val="nil"/>
              <w:right w:val="nil"/>
            </w:tcBorders>
          </w:tcPr>
          <w:p w14:paraId="6010833E" w14:textId="77777777" w:rsidR="00F31CF4" w:rsidRPr="00C947F0" w:rsidRDefault="00F31CF4" w:rsidP="008B130B">
            <w:pPr>
              <w:rPr>
                <w:rFonts w:ascii="Archivo" w:hAnsi="Archivo"/>
                <w:sz w:val="20"/>
                <w:szCs w:val="20"/>
              </w:rPr>
            </w:pPr>
          </w:p>
        </w:tc>
      </w:tr>
      <w:tr w:rsidR="00F31CF4" w:rsidRPr="00C947F0" w14:paraId="6A1CC66A" w14:textId="77777777" w:rsidTr="008B130B">
        <w:tc>
          <w:tcPr>
            <w:tcW w:w="9493" w:type="dxa"/>
            <w:gridSpan w:val="3"/>
            <w:tcBorders>
              <w:top w:val="single" w:sz="4" w:space="0" w:color="auto"/>
              <w:bottom w:val="nil"/>
            </w:tcBorders>
          </w:tcPr>
          <w:p w14:paraId="15B8B5A2" w14:textId="61DDAEC1" w:rsidR="00F31CF4" w:rsidRPr="00C947F0" w:rsidRDefault="00F31CF4" w:rsidP="008B130B">
            <w:pPr>
              <w:rPr>
                <w:rFonts w:ascii="Archivo" w:hAnsi="Archivo"/>
                <w:b/>
                <w:bCs/>
                <w:sz w:val="20"/>
                <w:szCs w:val="20"/>
              </w:rPr>
            </w:pPr>
            <w:r w:rsidRPr="00C947F0">
              <w:rPr>
                <w:rFonts w:ascii="Archivo" w:hAnsi="Archivo"/>
                <w:b/>
                <w:bCs/>
                <w:sz w:val="20"/>
                <w:szCs w:val="20"/>
              </w:rPr>
              <w:t>Geographic and exploitation gradients</w:t>
            </w:r>
          </w:p>
        </w:tc>
      </w:tr>
      <w:tr w:rsidR="00F31CF4" w:rsidRPr="00C947F0" w14:paraId="1AA76CC3" w14:textId="77777777" w:rsidTr="008B130B">
        <w:tc>
          <w:tcPr>
            <w:tcW w:w="3402" w:type="dxa"/>
            <w:tcBorders>
              <w:top w:val="nil"/>
              <w:bottom w:val="nil"/>
            </w:tcBorders>
            <w:shd w:val="clear" w:color="auto" w:fill="FFC000"/>
          </w:tcPr>
          <w:p w14:paraId="6CF4C40B" w14:textId="77777777" w:rsidR="00F31CF4" w:rsidRPr="00C947F0" w:rsidRDefault="00F31CF4" w:rsidP="008B130B">
            <w:pPr>
              <w:rPr>
                <w:rFonts w:ascii="Archivo" w:hAnsi="Archivo"/>
                <w:b/>
                <w:bCs/>
                <w:sz w:val="20"/>
                <w:szCs w:val="20"/>
              </w:rPr>
            </w:pPr>
            <w:r w:rsidRPr="00C947F0">
              <w:rPr>
                <w:rFonts w:ascii="Archivo" w:hAnsi="Archivo"/>
                <w:b/>
                <w:bCs/>
                <w:sz w:val="20"/>
                <w:szCs w:val="20"/>
              </w:rPr>
              <w:t xml:space="preserve">Easier to overexploit </w:t>
            </w:r>
          </w:p>
        </w:tc>
        <w:tc>
          <w:tcPr>
            <w:tcW w:w="2689" w:type="dxa"/>
            <w:tcBorders>
              <w:top w:val="nil"/>
              <w:bottom w:val="nil"/>
            </w:tcBorders>
            <w:shd w:val="clear" w:color="auto" w:fill="FFC000"/>
          </w:tcPr>
          <w:p w14:paraId="0511DDA6" w14:textId="77777777" w:rsidR="00F31CF4" w:rsidRPr="00C947F0" w:rsidRDefault="00F31CF4" w:rsidP="008B130B">
            <w:pPr>
              <w:jc w:val="center"/>
              <w:rPr>
                <w:rFonts w:ascii="Archivo" w:hAnsi="Archivo"/>
                <w:b/>
                <w:bCs/>
                <w:sz w:val="20"/>
                <w:szCs w:val="20"/>
              </w:rPr>
            </w:pPr>
          </w:p>
        </w:tc>
        <w:tc>
          <w:tcPr>
            <w:tcW w:w="3402" w:type="dxa"/>
            <w:tcBorders>
              <w:top w:val="nil"/>
              <w:bottom w:val="nil"/>
            </w:tcBorders>
            <w:shd w:val="clear" w:color="auto" w:fill="FFC000"/>
            <w:vAlign w:val="center"/>
          </w:tcPr>
          <w:p w14:paraId="1970E254" w14:textId="47FDE31F" w:rsidR="00F31CF4" w:rsidRPr="00C947F0" w:rsidRDefault="00F31CF4" w:rsidP="008B130B">
            <w:pPr>
              <w:jc w:val="right"/>
              <w:rPr>
                <w:rFonts w:ascii="Archivo" w:hAnsi="Archivo"/>
                <w:b/>
                <w:bCs/>
                <w:sz w:val="20"/>
                <w:szCs w:val="20"/>
              </w:rPr>
            </w:pPr>
            <w:r w:rsidRPr="00C947F0">
              <w:rPr>
                <w:rFonts w:ascii="Archivo" w:hAnsi="Archivo"/>
                <w:b/>
                <w:bCs/>
                <w:sz w:val="20"/>
                <w:szCs w:val="20"/>
              </w:rPr>
              <w:t>Easier to sustain</w:t>
            </w:r>
          </w:p>
        </w:tc>
      </w:tr>
      <w:tr w:rsidR="00F31CF4" w:rsidRPr="00C947F0" w14:paraId="127A913E" w14:textId="77777777" w:rsidTr="008B130B">
        <w:tc>
          <w:tcPr>
            <w:tcW w:w="3402" w:type="dxa"/>
            <w:tcBorders>
              <w:top w:val="nil"/>
              <w:bottom w:val="nil"/>
            </w:tcBorders>
          </w:tcPr>
          <w:p w14:paraId="240429D1"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70528" behindDoc="0" locked="0" layoutInCell="1" allowOverlap="1" wp14:anchorId="0E45BF56" wp14:editId="24CA0961">
                      <wp:simplePos x="0" y="0"/>
                      <wp:positionH relativeFrom="column">
                        <wp:posOffset>1543050</wp:posOffset>
                      </wp:positionH>
                      <wp:positionV relativeFrom="paragraph">
                        <wp:posOffset>65405</wp:posOffset>
                      </wp:positionV>
                      <wp:extent cx="540000"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B73B3A9" id="Straight Arrow Connector 23" o:spid="_x0000_s1026" type="#_x0000_t32" style="position:absolute;margin-left:121.5pt;margin-top:5.15pt;width:42.5pt;height:0;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Small, fragmented</w:t>
            </w:r>
          </w:p>
        </w:tc>
        <w:tc>
          <w:tcPr>
            <w:tcW w:w="2689" w:type="dxa"/>
            <w:tcBorders>
              <w:top w:val="nil"/>
              <w:bottom w:val="nil"/>
            </w:tcBorders>
          </w:tcPr>
          <w:p w14:paraId="4EC4FA83"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Geographic range</w:t>
            </w:r>
          </w:p>
        </w:tc>
        <w:tc>
          <w:tcPr>
            <w:tcW w:w="3402" w:type="dxa"/>
            <w:tcBorders>
              <w:top w:val="nil"/>
              <w:bottom w:val="nil"/>
            </w:tcBorders>
            <w:vAlign w:val="center"/>
          </w:tcPr>
          <w:p w14:paraId="75CB4748" w14:textId="19FB163C" w:rsidR="00F31CF4" w:rsidRPr="00C947F0" w:rsidRDefault="003003CD"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6432" behindDoc="0" locked="0" layoutInCell="1" allowOverlap="1" wp14:anchorId="7ED4BE63" wp14:editId="47366AE2">
                      <wp:simplePos x="0" y="0"/>
                      <wp:positionH relativeFrom="column">
                        <wp:posOffset>-5715</wp:posOffset>
                      </wp:positionH>
                      <wp:positionV relativeFrom="paragraph">
                        <wp:posOffset>81280</wp:posOffset>
                      </wp:positionV>
                      <wp:extent cx="539750" cy="0"/>
                      <wp:effectExtent l="0" t="76200" r="12700" b="95250"/>
                      <wp:wrapNone/>
                      <wp:docPr id="18" name="Straight Arrow Connector 18"/>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497CB" id="Straight Arrow Connector 18" o:spid="_x0000_s1026" type="#_x0000_t32" style="position:absolute;margin-left:-.45pt;margin-top:6.4pt;width: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" strokecolor="black [3200]" strokeweight=".5pt">
                      <v:stroke endarrow="block" joinstyle="miter"/>
                    </v:shape>
                  </w:pict>
                </mc:Fallback>
              </mc:AlternateContent>
            </w:r>
            <w:r w:rsidR="00F31CF4" w:rsidRPr="00C947F0">
              <w:rPr>
                <w:rFonts w:ascii="Archivo" w:hAnsi="Archivo"/>
                <w:sz w:val="20"/>
                <w:szCs w:val="20"/>
              </w:rPr>
              <w:t>Large</w:t>
            </w:r>
          </w:p>
        </w:tc>
      </w:tr>
      <w:tr w:rsidR="00F31CF4" w:rsidRPr="00C947F0" w14:paraId="15721485" w14:textId="77777777" w:rsidTr="008B130B">
        <w:tc>
          <w:tcPr>
            <w:tcW w:w="3402" w:type="dxa"/>
            <w:tcBorders>
              <w:top w:val="nil"/>
              <w:bottom w:val="nil"/>
            </w:tcBorders>
          </w:tcPr>
          <w:p w14:paraId="0322A336"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71552" behindDoc="0" locked="0" layoutInCell="1" allowOverlap="1" wp14:anchorId="75D69E7C" wp14:editId="458AE97E">
                      <wp:simplePos x="0" y="0"/>
                      <wp:positionH relativeFrom="column">
                        <wp:posOffset>1543050</wp:posOffset>
                      </wp:positionH>
                      <wp:positionV relativeFrom="paragraph">
                        <wp:posOffset>78740</wp:posOffset>
                      </wp:positionV>
                      <wp:extent cx="540000"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A5E7726" id="Straight Arrow Connector 24" o:spid="_x0000_s1026" type="#_x0000_t32" style="position:absolute;margin-left:121.5pt;margin-top:6.2pt;width:42.5pt;height:0;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Small, scattered</w:t>
            </w:r>
          </w:p>
        </w:tc>
        <w:tc>
          <w:tcPr>
            <w:tcW w:w="2689" w:type="dxa"/>
            <w:tcBorders>
              <w:top w:val="nil"/>
              <w:bottom w:val="nil"/>
            </w:tcBorders>
          </w:tcPr>
          <w:p w14:paraId="62DBFE1F"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Area of Occupancy</w:t>
            </w:r>
          </w:p>
        </w:tc>
        <w:tc>
          <w:tcPr>
            <w:tcW w:w="3402" w:type="dxa"/>
            <w:tcBorders>
              <w:top w:val="nil"/>
              <w:bottom w:val="nil"/>
            </w:tcBorders>
            <w:vAlign w:val="center"/>
          </w:tcPr>
          <w:p w14:paraId="2CB0CB40" w14:textId="77777777" w:rsidR="00F31CF4" w:rsidRPr="00C947F0" w:rsidRDefault="00F31CF4"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74624" behindDoc="0" locked="0" layoutInCell="1" allowOverlap="1" wp14:anchorId="7D2C56B8" wp14:editId="5F7112A4">
                      <wp:simplePos x="0" y="0"/>
                      <wp:positionH relativeFrom="column">
                        <wp:posOffset>3810</wp:posOffset>
                      </wp:positionH>
                      <wp:positionV relativeFrom="paragraph">
                        <wp:posOffset>70485</wp:posOffset>
                      </wp:positionV>
                      <wp:extent cx="539750" cy="0"/>
                      <wp:effectExtent l="0" t="76200" r="12700" b="95250"/>
                      <wp:wrapNone/>
                      <wp:docPr id="27" name="Straight Arrow Connector 27"/>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CAC71" id="Straight Arrow Connector 27" o:spid="_x0000_s1026" type="#_x0000_t32" style="position:absolute;margin-left:.3pt;margin-top:5.55pt;width:4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" strokecolor="black [3200]" strokeweight=".5pt">
                      <v:stroke endarrow="block" joinstyle="miter"/>
                    </v:shape>
                  </w:pict>
                </mc:Fallback>
              </mc:AlternateContent>
            </w:r>
            <w:r w:rsidRPr="00C947F0">
              <w:rPr>
                <w:rFonts w:ascii="Archivo" w:hAnsi="Archivo"/>
                <w:sz w:val="20"/>
                <w:szCs w:val="20"/>
              </w:rPr>
              <w:t>Large, contiguous</w:t>
            </w:r>
          </w:p>
        </w:tc>
      </w:tr>
      <w:tr w:rsidR="00F31CF4" w:rsidRPr="00C947F0" w14:paraId="070530CE" w14:textId="77777777" w:rsidTr="008B130B">
        <w:tc>
          <w:tcPr>
            <w:tcW w:w="3402" w:type="dxa"/>
            <w:tcBorders>
              <w:top w:val="nil"/>
              <w:bottom w:val="single" w:sz="4" w:space="0" w:color="auto"/>
            </w:tcBorders>
          </w:tcPr>
          <w:p w14:paraId="5489E39E" w14:textId="77777777" w:rsidR="00F31CF4" w:rsidRPr="00C947F0" w:rsidRDefault="00F31CF4" w:rsidP="008B130B">
            <w:pPr>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72576" behindDoc="0" locked="0" layoutInCell="1" allowOverlap="1" wp14:anchorId="2AD4B7BA" wp14:editId="3D992BA5">
                      <wp:simplePos x="0" y="0"/>
                      <wp:positionH relativeFrom="column">
                        <wp:posOffset>1543050</wp:posOffset>
                      </wp:positionH>
                      <wp:positionV relativeFrom="paragraph">
                        <wp:posOffset>124460</wp:posOffset>
                      </wp:positionV>
                      <wp:extent cx="540000"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54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EE9105" id="Straight Arrow Connector 25" o:spid="_x0000_s1026" type="#_x0000_t32" style="position:absolute;margin-left:121.5pt;margin-top:9.8pt;width:42.5pt;height:0;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" strokecolor="black [3200]" strokeweight=".5pt">
                      <v:stroke endarrow="block" joinstyle="miter"/>
                    </v:shape>
                  </w:pict>
                </mc:Fallback>
              </mc:AlternateContent>
            </w:r>
            <w:r w:rsidRPr="00C947F0">
              <w:rPr>
                <w:rFonts w:ascii="Archivo" w:hAnsi="Archivo"/>
                <w:sz w:val="20"/>
                <w:szCs w:val="20"/>
              </w:rPr>
              <w:t xml:space="preserve">High, constant, </w:t>
            </w:r>
          </w:p>
          <w:p w14:paraId="48EE122B" w14:textId="77777777" w:rsidR="00F31CF4" w:rsidRPr="00C947F0" w:rsidRDefault="00F31CF4" w:rsidP="008B130B">
            <w:pPr>
              <w:rPr>
                <w:rFonts w:ascii="Archivo" w:hAnsi="Archivo"/>
                <w:sz w:val="20"/>
                <w:szCs w:val="20"/>
              </w:rPr>
            </w:pPr>
            <w:r w:rsidRPr="00C947F0">
              <w:rPr>
                <w:rFonts w:ascii="Archivo" w:hAnsi="Archivo"/>
                <w:sz w:val="20"/>
                <w:szCs w:val="20"/>
              </w:rPr>
              <w:t>everywhere</w:t>
            </w:r>
          </w:p>
        </w:tc>
        <w:tc>
          <w:tcPr>
            <w:tcW w:w="2689" w:type="dxa"/>
            <w:tcBorders>
              <w:top w:val="nil"/>
              <w:bottom w:val="single" w:sz="4" w:space="0" w:color="auto"/>
            </w:tcBorders>
          </w:tcPr>
          <w:p w14:paraId="703BD96E" w14:textId="77777777" w:rsidR="00F31CF4" w:rsidRPr="00C947F0" w:rsidRDefault="00F31CF4" w:rsidP="008B130B">
            <w:pPr>
              <w:jc w:val="center"/>
              <w:rPr>
                <w:rFonts w:ascii="Archivo" w:hAnsi="Archivo"/>
                <w:b/>
                <w:bCs/>
                <w:sz w:val="20"/>
                <w:szCs w:val="20"/>
              </w:rPr>
            </w:pPr>
            <w:r w:rsidRPr="00C947F0">
              <w:rPr>
                <w:rFonts w:ascii="Archivo" w:hAnsi="Archivo"/>
                <w:b/>
                <w:bCs/>
                <w:sz w:val="20"/>
                <w:szCs w:val="20"/>
              </w:rPr>
              <w:t>Pressure to Exploit and Area of Harvest</w:t>
            </w:r>
          </w:p>
        </w:tc>
        <w:tc>
          <w:tcPr>
            <w:tcW w:w="3402" w:type="dxa"/>
            <w:tcBorders>
              <w:top w:val="nil"/>
              <w:bottom w:val="single" w:sz="4" w:space="0" w:color="auto"/>
            </w:tcBorders>
            <w:vAlign w:val="center"/>
          </w:tcPr>
          <w:p w14:paraId="43113AAF" w14:textId="77777777" w:rsidR="00F31CF4" w:rsidRPr="00C947F0" w:rsidRDefault="00F31CF4" w:rsidP="008B130B">
            <w:pPr>
              <w:jc w:val="right"/>
              <w:rPr>
                <w:rFonts w:ascii="Archivo" w:hAnsi="Archivo"/>
                <w:sz w:val="20"/>
                <w:szCs w:val="20"/>
              </w:rPr>
            </w:pPr>
            <w:r w:rsidRPr="00C947F0">
              <w:rPr>
                <w:rFonts w:ascii="Archivo" w:hAnsi="Archivo"/>
                <w:noProof/>
                <w:sz w:val="20"/>
                <w:szCs w:val="20"/>
              </w:rPr>
              <mc:AlternateContent>
                <mc:Choice Requires="wps">
                  <w:drawing>
                    <wp:anchor distT="0" distB="0" distL="114300" distR="114300" simplePos="0" relativeHeight="251667456" behindDoc="0" locked="0" layoutInCell="1" allowOverlap="1" wp14:anchorId="382C20F3" wp14:editId="4ED2D8E5">
                      <wp:simplePos x="0" y="0"/>
                      <wp:positionH relativeFrom="column">
                        <wp:posOffset>2540</wp:posOffset>
                      </wp:positionH>
                      <wp:positionV relativeFrom="paragraph">
                        <wp:posOffset>46990</wp:posOffset>
                      </wp:positionV>
                      <wp:extent cx="539750" cy="0"/>
                      <wp:effectExtent l="0" t="76200" r="12700" b="95250"/>
                      <wp:wrapNone/>
                      <wp:docPr id="19" name="Straight Arrow Connector 19"/>
                      <wp:cNvGraphicFramePr/>
                      <a:graphic xmlns:a="http://schemas.openxmlformats.org/drawingml/2006/main">
                        <a:graphicData uri="http://schemas.microsoft.com/office/word/2010/wordprocessingShape">
                          <wps:wsp>
                            <wps:cNvCnPr/>
                            <wps:spPr>
                              <a:xfrm>
                                <a:off x="0" y="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0A3D3" id="Straight Arrow Connector 19" o:spid="_x0000_s1026" type="#_x0000_t32" style="position:absolute;margin-left:.2pt;margin-top:3.7pt;width:4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" strokecolor="black [3200]" strokeweight=".5pt">
                      <v:stroke endarrow="block" joinstyle="miter"/>
                    </v:shape>
                  </w:pict>
                </mc:Fallback>
              </mc:AlternateContent>
            </w:r>
            <w:r w:rsidRPr="00C947F0">
              <w:rPr>
                <w:rFonts w:ascii="Archivo" w:hAnsi="Archivo"/>
                <w:sz w:val="20"/>
                <w:szCs w:val="20"/>
              </w:rPr>
              <w:t>Low and infrequent</w:t>
            </w:r>
          </w:p>
        </w:tc>
      </w:tr>
    </w:tbl>
    <w:p w14:paraId="6D2E1185" w14:textId="77777777" w:rsidR="00F31CF4" w:rsidRPr="00C947F0" w:rsidRDefault="00F31CF4" w:rsidP="00F31CF4">
      <w:pPr>
        <w:spacing w:after="0"/>
        <w:rPr>
          <w:rFonts w:ascii="Archivo" w:hAnsi="Archivo"/>
          <w:sz w:val="20"/>
          <w:szCs w:val="20"/>
        </w:rPr>
      </w:pPr>
    </w:p>
    <w:p w14:paraId="4AD778C8" w14:textId="6842CCF9" w:rsidR="00F31CF4" w:rsidRPr="00AE1F6D" w:rsidRDefault="00C947F0" w:rsidP="00AE1F6D">
      <w:pPr>
        <w:pStyle w:val="Heading5"/>
        <w:spacing w:before="0" w:after="240"/>
        <w:ind w:left="720" w:firstLine="720"/>
        <w:jc w:val="both"/>
        <w:rPr>
          <w:rFonts w:ascii="Archivo" w:hAnsi="Archivo"/>
          <w:sz w:val="20"/>
          <w:szCs w:val="20"/>
        </w:rPr>
      </w:pPr>
      <w:r w:rsidRPr="00C947F0">
        <w:rPr>
          <w:rFonts w:ascii="Archivo" w:hAnsi="Archivo"/>
          <w:color w:val="000000" w:themeColor="text1"/>
          <w:sz w:val="20"/>
          <w:szCs w:val="20"/>
        </w:rPr>
        <w:t xml:space="preserve">2.2.1. </w:t>
      </w:r>
      <w:r w:rsidRPr="00C947F0">
        <w:rPr>
          <w:rFonts w:ascii="Archivo" w:hAnsi="Archivo"/>
          <w:sz w:val="20"/>
          <w:szCs w:val="20"/>
        </w:rPr>
        <w:t>Life History traits</w:t>
      </w:r>
    </w:p>
    <w:p w14:paraId="5A155D99" w14:textId="7AF754F8" w:rsidR="00165247" w:rsidRPr="00C947F0" w:rsidRDefault="00F31CF4" w:rsidP="009C4801">
      <w:pPr>
        <w:spacing w:after="240"/>
        <w:jc w:val="both"/>
        <w:rPr>
          <w:rFonts w:ascii="Archivo" w:hAnsi="Archivo" w:cstheme="minorHAnsi"/>
          <w:sz w:val="20"/>
          <w:szCs w:val="20"/>
        </w:rPr>
      </w:pPr>
      <w:r w:rsidRPr="00C947F0">
        <w:rPr>
          <w:rFonts w:ascii="Archivo" w:hAnsi="Archivo" w:cstheme="minorHAnsi"/>
          <w:sz w:val="20"/>
          <w:szCs w:val="20"/>
          <w:lang w:val="en-US"/>
        </w:rPr>
        <w:t xml:space="preserve">This concerns the intrinsic vulnerability of a species or population based on life history traits (including reproductive capacity) and biological characteristics (i.e., niche breadth). </w:t>
      </w:r>
      <w:r w:rsidRPr="00C947F0">
        <w:rPr>
          <w:rFonts w:ascii="Archivo" w:hAnsi="Archivo" w:cstheme="minorHAnsi"/>
          <w:sz w:val="20"/>
          <w:szCs w:val="20"/>
        </w:rPr>
        <w:t>The biological attributes or life history traits of an organism determine in part to what extent it can sustain a level of wild-take or harvest. Understanding the basic biology of a species, and its vulnerability to harvest, helps you to assess the degree of risk.</w:t>
      </w:r>
    </w:p>
    <w:p w14:paraId="514EF1E2" w14:textId="2EB6B070" w:rsidR="00165247" w:rsidRPr="00AE1F6D" w:rsidRDefault="00165247" w:rsidP="00AB2832">
      <w:pPr>
        <w:spacing w:after="240"/>
        <w:ind w:left="720" w:firstLine="720"/>
        <w:jc w:val="both"/>
        <w:rPr>
          <w:rFonts w:ascii="Archivo" w:hAnsi="Archivo"/>
          <w:b/>
          <w:bCs/>
          <w:i/>
          <w:iCs/>
          <w:sz w:val="20"/>
          <w:szCs w:val="20"/>
          <w:lang w:val="en-US"/>
        </w:rPr>
      </w:pPr>
      <w:r w:rsidRPr="00AE1F6D">
        <w:rPr>
          <w:rFonts w:ascii="Archivo" w:hAnsi="Archivo"/>
          <w:b/>
          <w:bCs/>
          <w:i/>
          <w:iCs/>
          <w:sz w:val="20"/>
          <w:szCs w:val="20"/>
          <w:lang w:val="en-US"/>
        </w:rPr>
        <w:t>Generation time as a proxy for life-history traits in birds</w:t>
      </w:r>
    </w:p>
    <w:p w14:paraId="0C621DE8" w14:textId="6E867E93" w:rsidR="00F31CF4" w:rsidRPr="00C947F0" w:rsidRDefault="00F31CF4" w:rsidP="009C4801">
      <w:pPr>
        <w:spacing w:after="240"/>
        <w:jc w:val="both"/>
        <w:rPr>
          <w:rFonts w:ascii="Archivo" w:hAnsi="Archivo"/>
          <w:sz w:val="20"/>
          <w:szCs w:val="20"/>
          <w:lang w:val="en-US"/>
        </w:rPr>
      </w:pPr>
      <w:r w:rsidRPr="00C947F0">
        <w:rPr>
          <w:rFonts w:ascii="Archivo" w:hAnsi="Archivo"/>
          <w:sz w:val="20"/>
          <w:szCs w:val="20"/>
          <w:lang w:val="en-US"/>
        </w:rPr>
        <w:t xml:space="preserve">Bird </w:t>
      </w:r>
      <w:r w:rsidRPr="00C947F0">
        <w:rPr>
          <w:rFonts w:ascii="Archivo" w:hAnsi="Archivo"/>
          <w:i/>
          <w:iCs/>
          <w:sz w:val="20"/>
          <w:szCs w:val="20"/>
          <w:lang w:val="en-US"/>
        </w:rPr>
        <w:t xml:space="preserve">et al. </w:t>
      </w:r>
      <w:r w:rsidRPr="00C947F0">
        <w:rPr>
          <w:rFonts w:ascii="Archivo" w:hAnsi="Archivo"/>
          <w:iCs/>
          <w:sz w:val="20"/>
          <w:szCs w:val="20"/>
          <w:lang w:val="en-US"/>
        </w:rPr>
        <w:t>(</w:t>
      </w:r>
      <w:r w:rsidRPr="00C947F0">
        <w:rPr>
          <w:rFonts w:ascii="Archivo" w:hAnsi="Archivo"/>
          <w:sz w:val="20"/>
          <w:szCs w:val="20"/>
          <w:lang w:val="en-US"/>
        </w:rPr>
        <w:t>2020)</w:t>
      </w:r>
      <w:r w:rsidRPr="00C947F0">
        <w:rPr>
          <w:rStyle w:val="FootnoteReference"/>
          <w:rFonts w:ascii="Archivo" w:hAnsi="Archivo"/>
          <w:sz w:val="20"/>
          <w:szCs w:val="20"/>
        </w:rPr>
        <w:footnoteReference w:id="13"/>
      </w:r>
      <w:r w:rsidRPr="00C947F0">
        <w:rPr>
          <w:rFonts w:ascii="Archivo" w:hAnsi="Archivo"/>
          <w:sz w:val="20"/>
          <w:szCs w:val="20"/>
          <w:lang w:val="en-US"/>
        </w:rPr>
        <w:t xml:space="preserve"> systematically estimated generation lengths of birds based on published life-history and trait data for all species, using linear models to estimate generation lengths where life-history data was unavailable. Generation length ranges from 1.42 to 27.87 years, with most bird species having generation lengths of &lt;3.33 years (61% of all birds). For CITES-listed birds, generation length ranges between c.1.5 years to c.27 years, with a median generation length of c.4.2 years. There is a lot of </w:t>
      </w:r>
      <w:r w:rsidRPr="00C947F0">
        <w:rPr>
          <w:rFonts w:ascii="Archivo" w:hAnsi="Archivo"/>
          <w:sz w:val="20"/>
          <w:szCs w:val="20"/>
          <w:lang w:val="en-US"/>
        </w:rPr>
        <w:lastRenderedPageBreak/>
        <w:t xml:space="preserve">interspecific variation at the Family level. For </w:t>
      </w:r>
      <w:proofErr w:type="gramStart"/>
      <w:r w:rsidRPr="00C947F0">
        <w:rPr>
          <w:rFonts w:ascii="Archivo" w:hAnsi="Archivo"/>
          <w:sz w:val="20"/>
          <w:szCs w:val="20"/>
          <w:lang w:val="en-US"/>
        </w:rPr>
        <w:t>example</w:t>
      </w:r>
      <w:proofErr w:type="gramEnd"/>
      <w:r w:rsidRPr="00C947F0">
        <w:rPr>
          <w:rFonts w:ascii="Archivo" w:hAnsi="Archivo"/>
          <w:sz w:val="20"/>
          <w:szCs w:val="20"/>
          <w:lang w:val="en-US"/>
        </w:rPr>
        <w:t xml:space="preserve"> within the listed </w:t>
      </w:r>
      <w:proofErr w:type="spellStart"/>
      <w:r w:rsidRPr="00C947F0">
        <w:rPr>
          <w:rFonts w:ascii="Archivo" w:hAnsi="Archivo"/>
          <w:sz w:val="20"/>
          <w:szCs w:val="20"/>
          <w:lang w:val="en-US"/>
        </w:rPr>
        <w:t>Cacatuidae</w:t>
      </w:r>
      <w:proofErr w:type="spellEnd"/>
      <w:r w:rsidRPr="00C947F0">
        <w:rPr>
          <w:rFonts w:ascii="Archivo" w:hAnsi="Archivo"/>
          <w:sz w:val="20"/>
          <w:szCs w:val="20"/>
          <w:lang w:val="en-US"/>
        </w:rPr>
        <w:t xml:space="preserve"> (Cockatoos) the range in generation length c.6.8 years (</w:t>
      </w:r>
      <w:proofErr w:type="spellStart"/>
      <w:r w:rsidRPr="00C947F0">
        <w:rPr>
          <w:rFonts w:ascii="Archivo" w:hAnsi="Archivo"/>
          <w:i/>
          <w:iCs/>
          <w:sz w:val="20"/>
          <w:szCs w:val="20"/>
          <w:lang w:val="en-US"/>
        </w:rPr>
        <w:t>Callocephalon</w:t>
      </w:r>
      <w:proofErr w:type="spellEnd"/>
      <w:r w:rsidRPr="00C947F0">
        <w:rPr>
          <w:rFonts w:ascii="Archivo" w:hAnsi="Archivo"/>
          <w:i/>
          <w:iCs/>
          <w:sz w:val="20"/>
          <w:szCs w:val="20"/>
          <w:lang w:val="en-US"/>
        </w:rPr>
        <w:t xml:space="preserve"> </w:t>
      </w:r>
      <w:proofErr w:type="spellStart"/>
      <w:r w:rsidRPr="00C947F0">
        <w:rPr>
          <w:rFonts w:ascii="Archivo" w:hAnsi="Archivo"/>
          <w:i/>
          <w:iCs/>
          <w:sz w:val="20"/>
          <w:szCs w:val="20"/>
          <w:lang w:val="en-US"/>
        </w:rPr>
        <w:t>fimibriatum</w:t>
      </w:r>
      <w:proofErr w:type="spellEnd"/>
      <w:r w:rsidRPr="00C947F0">
        <w:rPr>
          <w:rFonts w:ascii="Archivo" w:hAnsi="Archivo"/>
          <w:sz w:val="20"/>
          <w:szCs w:val="20"/>
          <w:lang w:val="en-US"/>
        </w:rPr>
        <w:t>) to 27.2 years (</w:t>
      </w:r>
      <w:r w:rsidRPr="00C947F0">
        <w:rPr>
          <w:rFonts w:ascii="Archivo" w:hAnsi="Archivo"/>
          <w:i/>
          <w:iCs/>
          <w:sz w:val="20"/>
          <w:szCs w:val="20"/>
          <w:lang w:val="en-US"/>
        </w:rPr>
        <w:t xml:space="preserve">Cacatua </w:t>
      </w:r>
      <w:proofErr w:type="spellStart"/>
      <w:r w:rsidRPr="00C947F0">
        <w:rPr>
          <w:rFonts w:ascii="Archivo" w:hAnsi="Archivo"/>
          <w:i/>
          <w:iCs/>
          <w:sz w:val="20"/>
          <w:szCs w:val="20"/>
          <w:lang w:val="en-US"/>
        </w:rPr>
        <w:t>galerita</w:t>
      </w:r>
      <w:proofErr w:type="spellEnd"/>
      <w:r w:rsidRPr="00C947F0">
        <w:rPr>
          <w:rFonts w:ascii="Archivo" w:hAnsi="Archivo"/>
          <w:sz w:val="20"/>
          <w:szCs w:val="20"/>
          <w:lang w:val="en-US"/>
        </w:rPr>
        <w:t xml:space="preserve">).    </w:t>
      </w:r>
    </w:p>
    <w:p w14:paraId="7D684B65" w14:textId="7D83A560" w:rsidR="00F31CF4" w:rsidRPr="00C947F0" w:rsidRDefault="00F31CF4" w:rsidP="009C4801">
      <w:pPr>
        <w:spacing w:after="240"/>
        <w:jc w:val="both"/>
        <w:rPr>
          <w:rFonts w:ascii="Archivo" w:hAnsi="Archivo"/>
          <w:sz w:val="20"/>
          <w:szCs w:val="20"/>
          <w:lang w:val="en-US"/>
        </w:rPr>
      </w:pPr>
      <w:r w:rsidRPr="00C947F0">
        <w:rPr>
          <w:rFonts w:ascii="Archivo" w:hAnsi="Archivo"/>
          <w:sz w:val="20"/>
          <w:szCs w:val="20"/>
          <w:lang w:val="en-US"/>
        </w:rPr>
        <w:t>To score the criteria ‘life history’ for the primary evaluation consult the publicly available generation lengths (</w:t>
      </w:r>
      <w:proofErr w:type="spellStart"/>
      <w:r w:rsidRPr="00C947F0">
        <w:rPr>
          <w:rFonts w:ascii="Archivo" w:hAnsi="Archivo"/>
          <w:sz w:val="20"/>
          <w:szCs w:val="20"/>
          <w:lang w:val="en-US"/>
        </w:rPr>
        <w:t>GenLength</w:t>
      </w:r>
      <w:proofErr w:type="spellEnd"/>
      <w:r w:rsidRPr="00C947F0">
        <w:rPr>
          <w:rFonts w:ascii="Archivo" w:hAnsi="Archivo"/>
          <w:sz w:val="20"/>
          <w:szCs w:val="20"/>
          <w:lang w:val="en-US"/>
        </w:rPr>
        <w:t xml:space="preserve">, supplementary table 4 (Bird </w:t>
      </w:r>
      <w:r w:rsidRPr="00C947F0">
        <w:rPr>
          <w:rFonts w:ascii="Archivo" w:hAnsi="Archivo"/>
          <w:i/>
          <w:iCs/>
          <w:sz w:val="20"/>
          <w:szCs w:val="20"/>
          <w:lang w:val="en-US"/>
        </w:rPr>
        <w:t>et al</w:t>
      </w:r>
      <w:r w:rsidRPr="00C947F0">
        <w:rPr>
          <w:rFonts w:ascii="Archivo" w:hAnsi="Archivo"/>
          <w:sz w:val="20"/>
          <w:szCs w:val="20"/>
          <w:lang w:val="en-US"/>
        </w:rPr>
        <w:t xml:space="preserve"> 2022)</w:t>
      </w:r>
      <w:r w:rsidRPr="00C947F0">
        <w:rPr>
          <w:rStyle w:val="FootnoteReference"/>
          <w:rFonts w:ascii="Archivo" w:hAnsi="Archivo"/>
          <w:sz w:val="20"/>
          <w:szCs w:val="20"/>
        </w:rPr>
        <w:footnoteReference w:id="14"/>
      </w:r>
      <w:r w:rsidRPr="00C947F0">
        <w:rPr>
          <w:rFonts w:ascii="Archivo" w:hAnsi="Archivo"/>
          <w:sz w:val="20"/>
          <w:szCs w:val="20"/>
          <w:lang w:val="en-US"/>
        </w:rPr>
        <w:t>)   The following table uses this rationale to determine whether the life-history is considered ‘fast’, ‘medium’ or ‘slow’ based on the IUCN Red List Criterion A relating to population size reduction</w:t>
      </w:r>
      <w:r w:rsidRPr="00C947F0">
        <w:rPr>
          <w:rStyle w:val="FootnoteReference"/>
          <w:rFonts w:ascii="Archivo" w:hAnsi="Archivo"/>
          <w:sz w:val="20"/>
          <w:szCs w:val="20"/>
        </w:rPr>
        <w:footnoteReference w:id="15"/>
      </w:r>
      <w:r w:rsidRPr="00C947F0">
        <w:rPr>
          <w:rFonts w:ascii="Archivo" w:hAnsi="Archivo"/>
          <w:sz w:val="20"/>
          <w:szCs w:val="20"/>
          <w:lang w:val="en-US"/>
        </w:rPr>
        <w:t xml:space="preserve">. Using this interpretation would </w:t>
      </w:r>
      <w:proofErr w:type="spellStart"/>
      <w:r w:rsidRPr="00C947F0">
        <w:rPr>
          <w:rFonts w:ascii="Archivo" w:hAnsi="Archivo"/>
          <w:sz w:val="20"/>
          <w:szCs w:val="20"/>
          <w:lang w:val="en-US"/>
        </w:rPr>
        <w:t>categorise</w:t>
      </w:r>
      <w:proofErr w:type="spellEnd"/>
      <w:r w:rsidRPr="00C947F0">
        <w:rPr>
          <w:rFonts w:ascii="Archivo" w:hAnsi="Archivo"/>
          <w:sz w:val="20"/>
          <w:szCs w:val="20"/>
          <w:lang w:val="en-US"/>
        </w:rPr>
        <w:t xml:space="preserve"> species with generation lengths of under 3.33 years as having ‘fast’ life histories based on the period of 3 generations &lt;10 years (Bird </w:t>
      </w:r>
      <w:r w:rsidRPr="00C947F0">
        <w:rPr>
          <w:rFonts w:ascii="Archivo" w:hAnsi="Archivo"/>
          <w:i/>
          <w:iCs/>
          <w:sz w:val="20"/>
          <w:szCs w:val="20"/>
          <w:lang w:val="en-US"/>
        </w:rPr>
        <w:t>et al</w:t>
      </w:r>
      <w:r w:rsidRPr="00C947F0">
        <w:rPr>
          <w:rFonts w:ascii="Archivo" w:hAnsi="Archivo"/>
          <w:sz w:val="20"/>
          <w:szCs w:val="20"/>
          <w:lang w:val="en-US"/>
        </w:rPr>
        <w:t xml:space="preserve"> 2020). This includes the Trochilidae (Hummingbirds) and several Families of the Passeriformes (Songbirds).    </w:t>
      </w:r>
    </w:p>
    <w:tbl>
      <w:tblPr>
        <w:tblStyle w:val="TableGrid"/>
        <w:tblW w:w="0" w:type="auto"/>
        <w:tblLook w:val="04A0" w:firstRow="1" w:lastRow="0" w:firstColumn="1" w:lastColumn="0" w:noHBand="0" w:noVBand="1"/>
      </w:tblPr>
      <w:tblGrid>
        <w:gridCol w:w="2079"/>
        <w:gridCol w:w="2079"/>
        <w:gridCol w:w="2079"/>
        <w:gridCol w:w="2079"/>
      </w:tblGrid>
      <w:tr w:rsidR="00F31CF4" w:rsidRPr="00440CA1" w14:paraId="62813872" w14:textId="77777777" w:rsidTr="008B130B">
        <w:trPr>
          <w:trHeight w:val="357"/>
        </w:trPr>
        <w:tc>
          <w:tcPr>
            <w:tcW w:w="2079" w:type="dxa"/>
          </w:tcPr>
          <w:p w14:paraId="25216A23"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Qualifier</w:t>
            </w:r>
          </w:p>
        </w:tc>
        <w:tc>
          <w:tcPr>
            <w:tcW w:w="2079" w:type="dxa"/>
          </w:tcPr>
          <w:p w14:paraId="0DF191B7"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Fast</w:t>
            </w:r>
          </w:p>
        </w:tc>
        <w:tc>
          <w:tcPr>
            <w:tcW w:w="2079" w:type="dxa"/>
          </w:tcPr>
          <w:p w14:paraId="076FDA86"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Medium</w:t>
            </w:r>
          </w:p>
        </w:tc>
        <w:tc>
          <w:tcPr>
            <w:tcW w:w="2079" w:type="dxa"/>
          </w:tcPr>
          <w:p w14:paraId="691EED44"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Slow</w:t>
            </w:r>
          </w:p>
        </w:tc>
      </w:tr>
      <w:tr w:rsidR="00F31CF4" w:rsidRPr="00440CA1" w14:paraId="046B45F5" w14:textId="77777777" w:rsidTr="00663AC1">
        <w:trPr>
          <w:trHeight w:val="332"/>
        </w:trPr>
        <w:tc>
          <w:tcPr>
            <w:tcW w:w="2079" w:type="dxa"/>
          </w:tcPr>
          <w:p w14:paraId="6EE97B81" w14:textId="62A30410" w:rsidR="00F31CF4" w:rsidRPr="00440CA1" w:rsidRDefault="00F31CF4" w:rsidP="00663AC1">
            <w:pPr>
              <w:jc w:val="center"/>
              <w:rPr>
                <w:rFonts w:ascii="Archivo" w:hAnsi="Archivo"/>
                <w:b/>
                <w:bCs/>
                <w:sz w:val="18"/>
                <w:szCs w:val="18"/>
                <w:lang w:val="en-US"/>
              </w:rPr>
            </w:pPr>
            <w:r w:rsidRPr="00440CA1">
              <w:rPr>
                <w:rFonts w:ascii="Archivo" w:hAnsi="Archivo"/>
                <w:b/>
                <w:bCs/>
                <w:sz w:val="18"/>
                <w:szCs w:val="18"/>
                <w:lang w:val="en-US"/>
              </w:rPr>
              <w:t>Generation Length</w:t>
            </w:r>
          </w:p>
        </w:tc>
        <w:tc>
          <w:tcPr>
            <w:tcW w:w="2079" w:type="dxa"/>
          </w:tcPr>
          <w:p w14:paraId="0E33EDE4"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&lt;3.33 years</w:t>
            </w:r>
          </w:p>
        </w:tc>
        <w:tc>
          <w:tcPr>
            <w:tcW w:w="2079" w:type="dxa"/>
          </w:tcPr>
          <w:p w14:paraId="7939F833"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3.33</w:t>
            </w:r>
          </w:p>
        </w:tc>
        <w:tc>
          <w:tcPr>
            <w:tcW w:w="2079" w:type="dxa"/>
          </w:tcPr>
          <w:p w14:paraId="3FF3BB75"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&gt; 33.33 years</w:t>
            </w:r>
          </w:p>
        </w:tc>
      </w:tr>
      <w:tr w:rsidR="00F31CF4" w:rsidRPr="00440CA1" w14:paraId="698B29C4" w14:textId="77777777" w:rsidTr="008B130B">
        <w:trPr>
          <w:trHeight w:val="339"/>
        </w:trPr>
        <w:tc>
          <w:tcPr>
            <w:tcW w:w="2079" w:type="dxa"/>
          </w:tcPr>
          <w:p w14:paraId="2267824D"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Period of 3 generations</w:t>
            </w:r>
          </w:p>
        </w:tc>
        <w:tc>
          <w:tcPr>
            <w:tcW w:w="2079" w:type="dxa"/>
          </w:tcPr>
          <w:p w14:paraId="77FE8395"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&lt;10 years</w:t>
            </w:r>
          </w:p>
        </w:tc>
        <w:tc>
          <w:tcPr>
            <w:tcW w:w="2079" w:type="dxa"/>
          </w:tcPr>
          <w:p w14:paraId="7A0AF37F"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 xml:space="preserve">10 years&gt; </w:t>
            </w:r>
          </w:p>
        </w:tc>
        <w:tc>
          <w:tcPr>
            <w:tcW w:w="2079" w:type="dxa"/>
          </w:tcPr>
          <w:p w14:paraId="112C3F75"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&gt;100</w:t>
            </w:r>
          </w:p>
        </w:tc>
      </w:tr>
      <w:tr w:rsidR="00F31CF4" w:rsidRPr="00440CA1" w14:paraId="410799E7" w14:textId="77777777" w:rsidTr="008B130B">
        <w:trPr>
          <w:trHeight w:val="339"/>
        </w:trPr>
        <w:tc>
          <w:tcPr>
            <w:tcW w:w="2079" w:type="dxa"/>
          </w:tcPr>
          <w:p w14:paraId="1ACE423C" w14:textId="77777777" w:rsidR="00F31CF4" w:rsidRPr="00440CA1" w:rsidRDefault="00F31CF4" w:rsidP="008B130B">
            <w:pPr>
              <w:jc w:val="center"/>
              <w:rPr>
                <w:rFonts w:ascii="Archivo" w:hAnsi="Archivo"/>
                <w:b/>
                <w:bCs/>
                <w:sz w:val="18"/>
                <w:szCs w:val="18"/>
                <w:lang w:val="en-US"/>
              </w:rPr>
            </w:pPr>
            <w:r w:rsidRPr="00440CA1">
              <w:rPr>
                <w:rFonts w:ascii="Archivo" w:hAnsi="Archivo"/>
                <w:b/>
                <w:bCs/>
                <w:sz w:val="18"/>
                <w:szCs w:val="18"/>
                <w:lang w:val="en-US"/>
              </w:rPr>
              <w:t>Primary Evaluation score</w:t>
            </w:r>
          </w:p>
        </w:tc>
        <w:tc>
          <w:tcPr>
            <w:tcW w:w="2079" w:type="dxa"/>
          </w:tcPr>
          <w:p w14:paraId="75CFBF33"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1</w:t>
            </w:r>
          </w:p>
        </w:tc>
        <w:tc>
          <w:tcPr>
            <w:tcW w:w="2079" w:type="dxa"/>
          </w:tcPr>
          <w:p w14:paraId="3DE70BB4"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2</w:t>
            </w:r>
          </w:p>
        </w:tc>
        <w:tc>
          <w:tcPr>
            <w:tcW w:w="2079" w:type="dxa"/>
          </w:tcPr>
          <w:p w14:paraId="63B8BBC0" w14:textId="77777777" w:rsidR="00F31CF4" w:rsidRPr="00440CA1" w:rsidRDefault="00F31CF4" w:rsidP="008B130B">
            <w:pPr>
              <w:jc w:val="center"/>
              <w:rPr>
                <w:rFonts w:ascii="Archivo" w:hAnsi="Archivo"/>
                <w:sz w:val="18"/>
                <w:szCs w:val="18"/>
                <w:lang w:val="en-US"/>
              </w:rPr>
            </w:pPr>
            <w:r w:rsidRPr="00440CA1">
              <w:rPr>
                <w:rFonts w:ascii="Archivo" w:hAnsi="Archivo"/>
                <w:sz w:val="18"/>
                <w:szCs w:val="18"/>
                <w:lang w:val="en-US"/>
              </w:rPr>
              <w:t>3</w:t>
            </w:r>
          </w:p>
        </w:tc>
      </w:tr>
    </w:tbl>
    <w:p w14:paraId="4F6E89BA" w14:textId="64F3823F" w:rsidR="00D85653" w:rsidRPr="00C947F0" w:rsidRDefault="00D85653" w:rsidP="0012383D">
      <w:pPr>
        <w:rPr>
          <w:rFonts w:ascii="Archivo" w:hAnsi="Archivo"/>
          <w:sz w:val="20"/>
          <w:szCs w:val="20"/>
          <w:lang w:val="en-US"/>
        </w:rPr>
      </w:pPr>
    </w:p>
    <w:p w14:paraId="1A1BC427" w14:textId="77777777" w:rsidR="0012383D" w:rsidRDefault="0012383D" w:rsidP="0012383D">
      <w:pPr>
        <w:ind w:left="720" w:firstLine="720"/>
        <w:rPr>
          <w:rFonts w:ascii="Archivo" w:hAnsi="Archivo"/>
          <w:b/>
          <w:bCs/>
          <w:sz w:val="20"/>
          <w:szCs w:val="20"/>
          <w:lang w:val="en-US"/>
        </w:rPr>
      </w:pPr>
      <w:r w:rsidRPr="0012383D">
        <w:rPr>
          <w:rFonts w:ascii="Archivo" w:hAnsi="Archivo"/>
          <w:b/>
          <w:bCs/>
          <w:sz w:val="20"/>
          <w:szCs w:val="20"/>
          <w:lang w:val="en-US"/>
        </w:rPr>
        <w:t xml:space="preserve">2.2.2. </w:t>
      </w:r>
      <w:r w:rsidR="00D85653" w:rsidRPr="0012383D">
        <w:rPr>
          <w:rFonts w:ascii="Archivo" w:hAnsi="Archivo"/>
          <w:b/>
          <w:bCs/>
          <w:sz w:val="20"/>
          <w:szCs w:val="20"/>
          <w:lang w:val="en-US"/>
        </w:rPr>
        <w:t>Area of Occupancy</w:t>
      </w:r>
    </w:p>
    <w:p w14:paraId="35373676" w14:textId="7F106C04" w:rsidR="00F31CF4" w:rsidRPr="0012383D" w:rsidRDefault="00165247" w:rsidP="00C63ABA">
      <w:pPr>
        <w:spacing w:after="240"/>
        <w:jc w:val="both"/>
        <w:rPr>
          <w:rFonts w:ascii="Archivo" w:hAnsi="Archivo"/>
          <w:b/>
          <w:bCs/>
          <w:sz w:val="20"/>
          <w:szCs w:val="20"/>
          <w:lang w:val="en-US"/>
        </w:rPr>
      </w:pPr>
      <w:r w:rsidRPr="00C947F0">
        <w:rPr>
          <w:rFonts w:ascii="Archivo" w:hAnsi="Archivo"/>
          <w:sz w:val="20"/>
          <w:szCs w:val="20"/>
        </w:rPr>
        <w:t>Area of occupancy estimates for birds are rare and where information is available this is regionally biased and is largely only available for well-studied species. Where these are available for bird species these should be prioritised as the primary source of information for assessment. The robustness of an Area of occupancy estimate is impacted by the following factors, the quality of the data, method of derivation, and year of estimate, each of these should be noted and considered as part of the assessment.</w:t>
      </w:r>
      <w:r w:rsidR="002B05FD" w:rsidRPr="00C947F0">
        <w:rPr>
          <w:rFonts w:ascii="Archivo" w:hAnsi="Archivo"/>
          <w:sz w:val="20"/>
          <w:szCs w:val="20"/>
        </w:rPr>
        <w:t xml:space="preserve"> </w:t>
      </w:r>
      <w:r w:rsidR="002B05FD" w:rsidRPr="00C947F0">
        <w:rPr>
          <w:rFonts w:ascii="Archivo" w:hAnsi="Archivo" w:cstheme="minorHAnsi"/>
          <w:sz w:val="20"/>
          <w:szCs w:val="20"/>
          <w:shd w:val="clear" w:color="auto" w:fill="FFFFFF"/>
        </w:rPr>
        <w:t>Global-scale Area of Habitat maps have been produced for c.95% of bird species, both non-migratory and migratory</w:t>
      </w:r>
      <w:r w:rsidR="002B05FD" w:rsidRPr="00C947F0">
        <w:rPr>
          <w:rStyle w:val="FootnoteReference"/>
          <w:rFonts w:ascii="Archivo" w:hAnsi="Archivo" w:cstheme="minorHAnsi"/>
          <w:sz w:val="20"/>
          <w:szCs w:val="20"/>
          <w:shd w:val="clear" w:color="auto" w:fill="FFFFFF"/>
        </w:rPr>
        <w:footnoteReference w:id="16"/>
      </w:r>
      <w:r w:rsidR="002B05FD" w:rsidRPr="00C947F0">
        <w:rPr>
          <w:rFonts w:ascii="Archivo" w:hAnsi="Archivo" w:cstheme="minorHAnsi"/>
          <w:sz w:val="20"/>
          <w:szCs w:val="20"/>
          <w:shd w:val="clear" w:color="auto" w:fill="FFFFFF"/>
        </w:rPr>
        <w:t>. The repository for the Area of Habitat data tables (including estimates in km</w:t>
      </w:r>
      <w:r w:rsidR="002B05FD" w:rsidRPr="00C947F0">
        <w:rPr>
          <w:rFonts w:ascii="Archivo" w:hAnsi="Archivo" w:cstheme="minorHAnsi"/>
          <w:sz w:val="20"/>
          <w:szCs w:val="20"/>
          <w:shd w:val="clear" w:color="auto" w:fill="FFFFFF"/>
          <w:vertAlign w:val="superscript"/>
        </w:rPr>
        <w:t>2</w:t>
      </w:r>
      <w:r w:rsidR="002B05FD" w:rsidRPr="00C947F0">
        <w:rPr>
          <w:rFonts w:ascii="Archivo" w:hAnsi="Archivo" w:cstheme="minorHAnsi"/>
          <w:sz w:val="20"/>
          <w:szCs w:val="20"/>
          <w:shd w:val="clear" w:color="auto" w:fill="FFFFFF"/>
          <w:vertAlign w:val="superscript"/>
        </w:rPr>
        <w:noBreakHyphen/>
      </w:r>
      <w:r w:rsidR="002B05FD" w:rsidRPr="00C947F0">
        <w:rPr>
          <w:rFonts w:ascii="Archivo" w:hAnsi="Archivo" w:cstheme="minorHAnsi"/>
          <w:sz w:val="20"/>
          <w:szCs w:val="20"/>
          <w:shd w:val="clear" w:color="auto" w:fill="FFFFFF"/>
        </w:rPr>
        <w:t>) and maps, can be downloaded from the Dryad Open Access Repository</w:t>
      </w:r>
      <w:r w:rsidR="002B05FD" w:rsidRPr="00C947F0">
        <w:rPr>
          <w:rStyle w:val="FootnoteReference"/>
          <w:rFonts w:ascii="Archivo" w:hAnsi="Archivo" w:cstheme="minorHAnsi"/>
          <w:sz w:val="20"/>
          <w:szCs w:val="20"/>
          <w:shd w:val="clear" w:color="auto" w:fill="FFFFFF"/>
        </w:rPr>
        <w:footnoteReference w:id="17"/>
      </w:r>
      <w:r w:rsidR="00DB102A" w:rsidRPr="00C947F0">
        <w:rPr>
          <w:rFonts w:ascii="Archivo" w:hAnsi="Archivo" w:cstheme="minorHAnsi"/>
          <w:i/>
          <w:iCs/>
          <w:sz w:val="20"/>
          <w:szCs w:val="20"/>
          <w:shd w:val="clear" w:color="auto" w:fill="FFFFFF"/>
        </w:rPr>
        <w:t xml:space="preserve"> To note,</w:t>
      </w:r>
      <w:r w:rsidR="00DB102A" w:rsidRPr="00C947F0">
        <w:rPr>
          <w:rFonts w:ascii="Archivo" w:hAnsi="Archivo" w:cstheme="minorHAnsi"/>
          <w:sz w:val="20"/>
          <w:szCs w:val="20"/>
          <w:shd w:val="clear" w:color="auto" w:fill="FFFFFF"/>
        </w:rPr>
        <w:t xml:space="preserve"> these estimates can also be clipped to the national level (</w:t>
      </w:r>
      <w:r w:rsidR="00DB102A" w:rsidRPr="00C947F0">
        <w:rPr>
          <w:rFonts w:ascii="Archivo" w:hAnsi="Archivo" w:cstheme="minorHAnsi"/>
          <w:i/>
          <w:iCs/>
          <w:sz w:val="20"/>
          <w:szCs w:val="20"/>
          <w:shd w:val="clear" w:color="auto" w:fill="FFFFFF"/>
        </w:rPr>
        <w:t>see</w:t>
      </w:r>
      <w:r w:rsidR="00DB102A" w:rsidRPr="00C947F0">
        <w:rPr>
          <w:rFonts w:ascii="Archivo" w:hAnsi="Archivo" w:cstheme="minorHAnsi"/>
          <w:sz w:val="20"/>
          <w:szCs w:val="20"/>
          <w:shd w:val="clear" w:color="auto" w:fill="FFFFFF"/>
        </w:rPr>
        <w:t xml:space="preserve"> National area of occupancy). Further,</w:t>
      </w:r>
      <w:r w:rsidR="00DB102A" w:rsidRPr="00C947F0">
        <w:rPr>
          <w:rFonts w:ascii="Archivo" w:hAnsi="Archivo" w:cstheme="minorHAnsi"/>
          <w:i/>
          <w:iCs/>
          <w:sz w:val="20"/>
          <w:szCs w:val="20"/>
          <w:shd w:val="clear" w:color="auto" w:fill="FFFFFF"/>
        </w:rPr>
        <w:t xml:space="preserve"> </w:t>
      </w:r>
      <w:r w:rsidR="00DB102A" w:rsidRPr="00C947F0">
        <w:rPr>
          <w:rFonts w:ascii="Archivo" w:hAnsi="Archivo" w:cstheme="minorHAnsi"/>
          <w:sz w:val="20"/>
          <w:szCs w:val="20"/>
          <w:shd w:val="clear" w:color="auto" w:fill="FFFFFF"/>
        </w:rPr>
        <w:t>for migratory species a series of sub-maps have been created for breeding, non-breeding, resident and uncertain areas of occupancy.  An R script is available to combine these to create one AOH map and area in km</w:t>
      </w:r>
      <w:r w:rsidR="00DB102A" w:rsidRPr="00C947F0">
        <w:rPr>
          <w:rFonts w:ascii="Archivo" w:hAnsi="Archivo" w:cstheme="minorHAnsi"/>
          <w:sz w:val="20"/>
          <w:szCs w:val="20"/>
          <w:shd w:val="clear" w:color="auto" w:fill="FFFFFF"/>
          <w:vertAlign w:val="superscript"/>
        </w:rPr>
        <w:t>2</w:t>
      </w:r>
      <w:r w:rsidR="00663AC1" w:rsidRPr="00663AC1">
        <w:rPr>
          <w:rFonts w:ascii="Archivo" w:hAnsi="Archivo" w:cstheme="minorHAnsi"/>
          <w:sz w:val="20"/>
          <w:szCs w:val="20"/>
          <w:shd w:val="clear" w:color="auto" w:fill="FFFFFF"/>
        </w:rPr>
        <w:t xml:space="preserve"> (</w:t>
      </w:r>
      <w:r w:rsidR="00663AC1" w:rsidRPr="00663AC1">
        <w:rPr>
          <w:rFonts w:ascii="Archivo" w:hAnsi="Archivo" w:cstheme="minorHAnsi"/>
          <w:sz w:val="20"/>
          <w:szCs w:val="20"/>
          <w:highlight w:val="yellow"/>
          <w:shd w:val="clear" w:color="auto" w:fill="FFFFFF"/>
        </w:rPr>
        <w:t>reference</w:t>
      </w:r>
      <w:r w:rsidR="00663AC1" w:rsidRPr="00663AC1">
        <w:rPr>
          <w:rFonts w:ascii="Archivo" w:hAnsi="Archivo" w:cstheme="minorHAnsi"/>
          <w:sz w:val="20"/>
          <w:szCs w:val="20"/>
          <w:shd w:val="clear" w:color="auto" w:fill="FFFFFF"/>
        </w:rPr>
        <w:t>)</w:t>
      </w:r>
      <w:r w:rsidR="00DB102A" w:rsidRPr="00663AC1">
        <w:rPr>
          <w:rFonts w:ascii="Archivo" w:hAnsi="Archivo" w:cstheme="minorHAnsi"/>
          <w:sz w:val="20"/>
          <w:szCs w:val="20"/>
          <w:shd w:val="clear" w:color="auto" w:fill="FFFFFF"/>
        </w:rPr>
        <w:t xml:space="preserve">. </w:t>
      </w:r>
    </w:p>
    <w:p w14:paraId="2231188C" w14:textId="2566D0F8" w:rsidR="00F31CF4" w:rsidRPr="0012383D" w:rsidRDefault="0012383D" w:rsidP="00C63ABA">
      <w:pPr>
        <w:pStyle w:val="Heading4"/>
        <w:spacing w:before="0" w:after="240"/>
        <w:ind w:left="720" w:firstLine="720"/>
        <w:jc w:val="both"/>
        <w:rPr>
          <w:rFonts w:ascii="Archivo" w:hAnsi="Archivo"/>
          <w:b/>
          <w:bCs/>
          <w:i w:val="0"/>
          <w:iCs w:val="0"/>
          <w:color w:val="000000" w:themeColor="text1"/>
          <w:sz w:val="20"/>
          <w:szCs w:val="20"/>
        </w:rPr>
      </w:pPr>
      <w:r w:rsidRPr="0012383D">
        <w:rPr>
          <w:rFonts w:ascii="Archivo" w:hAnsi="Archivo"/>
          <w:b/>
          <w:bCs/>
          <w:i w:val="0"/>
          <w:iCs w:val="0"/>
          <w:color w:val="000000" w:themeColor="text1"/>
          <w:sz w:val="20"/>
          <w:szCs w:val="20"/>
        </w:rPr>
        <w:t xml:space="preserve">2.2.3. </w:t>
      </w:r>
      <w:r w:rsidR="00F31CF4" w:rsidRPr="0012383D">
        <w:rPr>
          <w:rFonts w:ascii="Archivo" w:hAnsi="Archivo"/>
          <w:b/>
          <w:bCs/>
          <w:i w:val="0"/>
          <w:iCs w:val="0"/>
          <w:color w:val="000000" w:themeColor="text1"/>
          <w:sz w:val="20"/>
          <w:szCs w:val="20"/>
        </w:rPr>
        <w:t>Additional Risk Factors</w:t>
      </w:r>
    </w:p>
    <w:p w14:paraId="508777DE" w14:textId="77777777" w:rsidR="00F31CF4" w:rsidRPr="00C947F0" w:rsidRDefault="00F31CF4" w:rsidP="00C63ABA">
      <w:pPr>
        <w:spacing w:after="240"/>
        <w:jc w:val="both"/>
        <w:rPr>
          <w:rFonts w:ascii="Archivo" w:hAnsi="Archivo"/>
          <w:sz w:val="20"/>
          <w:szCs w:val="20"/>
        </w:rPr>
      </w:pPr>
      <w:r w:rsidRPr="00C947F0">
        <w:rPr>
          <w:rFonts w:ascii="Archivo" w:hAnsi="Archivo"/>
          <w:i/>
          <w:iCs/>
          <w:sz w:val="20"/>
          <w:szCs w:val="20"/>
        </w:rPr>
        <w:t xml:space="preserve">To note, </w:t>
      </w:r>
      <w:r w:rsidRPr="00C947F0">
        <w:rPr>
          <w:rFonts w:ascii="Archivo" w:hAnsi="Archivo"/>
          <w:sz w:val="20"/>
          <w:szCs w:val="20"/>
        </w:rPr>
        <w:t>if the species being assessed qualifies under either factor under consideration within this section apply a maximum score of ‘1’.</w:t>
      </w:r>
    </w:p>
    <w:p w14:paraId="780E64A6" w14:textId="38297048" w:rsidR="00F31CF4" w:rsidRPr="00C947F0" w:rsidRDefault="00F31CF4" w:rsidP="00C63ABA">
      <w:pPr>
        <w:pStyle w:val="Heading6"/>
        <w:numPr>
          <w:ilvl w:val="0"/>
          <w:numId w:val="18"/>
        </w:numPr>
        <w:spacing w:before="0" w:after="240"/>
        <w:jc w:val="both"/>
        <w:rPr>
          <w:rFonts w:ascii="Archivo" w:hAnsi="Archivo"/>
        </w:rPr>
      </w:pPr>
      <w:r w:rsidRPr="00C947F0">
        <w:rPr>
          <w:rFonts w:ascii="Archivo" w:hAnsi="Archivo"/>
        </w:rPr>
        <w:t>Global Conservation Status</w:t>
      </w:r>
    </w:p>
    <w:p w14:paraId="5B382ED0" w14:textId="77777777" w:rsidR="00F31CF4" w:rsidRPr="00C947F0" w:rsidRDefault="00F31CF4" w:rsidP="00C63ABA">
      <w:pPr>
        <w:spacing w:after="240"/>
        <w:jc w:val="both"/>
        <w:rPr>
          <w:rFonts w:ascii="Archivo" w:hAnsi="Archivo"/>
          <w:sz w:val="20"/>
          <w:szCs w:val="20"/>
        </w:rPr>
      </w:pPr>
      <w:r w:rsidRPr="00C947F0">
        <w:rPr>
          <w:rFonts w:ascii="Archivo" w:hAnsi="Archivo"/>
          <w:sz w:val="20"/>
          <w:szCs w:val="20"/>
        </w:rPr>
        <w:t>Global conservation status for birds is comprehensively assessed and recorded in the IUCN Red List of Threatened Species</w:t>
      </w:r>
      <w:r w:rsidRPr="00C947F0">
        <w:rPr>
          <w:rStyle w:val="FootnoteReference"/>
          <w:rFonts w:ascii="Archivo" w:hAnsi="Archivo"/>
          <w:sz w:val="20"/>
          <w:szCs w:val="20"/>
        </w:rPr>
        <w:footnoteReference w:id="18"/>
      </w:r>
      <w:r w:rsidRPr="00C947F0">
        <w:rPr>
          <w:rFonts w:ascii="Archivo" w:hAnsi="Archivo"/>
          <w:sz w:val="20"/>
          <w:szCs w:val="20"/>
        </w:rPr>
        <w:t>.  Of the 10,994 recognised extant species of bird, 13.5% (N=1,481 species) are currently threatened by extinction.  The greatest proportion of threatened birds belong to the parrots (Psittaciformes), and extinction risk is correlated with greater body size, longer generation times, and lower fecundity</w:t>
      </w:r>
      <w:r w:rsidRPr="00C947F0">
        <w:rPr>
          <w:rStyle w:val="FootnoteReference"/>
          <w:rFonts w:ascii="Archivo" w:hAnsi="Archivo"/>
          <w:sz w:val="20"/>
          <w:szCs w:val="20"/>
        </w:rPr>
        <w:footnoteReference w:id="19"/>
      </w:r>
      <w:r w:rsidRPr="00C947F0">
        <w:rPr>
          <w:rFonts w:ascii="Archivo" w:hAnsi="Archivo"/>
          <w:sz w:val="20"/>
          <w:szCs w:val="20"/>
        </w:rPr>
        <w:t xml:space="preserve">.  </w:t>
      </w:r>
    </w:p>
    <w:p w14:paraId="1568BACE" w14:textId="77777777" w:rsidR="00F31CF4" w:rsidRPr="007861EF" w:rsidRDefault="00F31CF4" w:rsidP="00193DB5">
      <w:pPr>
        <w:spacing w:after="240"/>
        <w:ind w:left="720"/>
        <w:jc w:val="both"/>
        <w:rPr>
          <w:rFonts w:ascii="Archivo" w:hAnsi="Archivo"/>
          <w:i/>
          <w:iCs/>
          <w:sz w:val="20"/>
          <w:szCs w:val="20"/>
        </w:rPr>
      </w:pPr>
      <w:r w:rsidRPr="007861EF">
        <w:rPr>
          <w:rFonts w:ascii="Archivo" w:hAnsi="Archivo"/>
          <w:i/>
          <w:iCs/>
          <w:sz w:val="20"/>
          <w:szCs w:val="20"/>
        </w:rPr>
        <w:lastRenderedPageBreak/>
        <w:t>To score this criterion, check the threat status of the species under consideration on the IUCN Red List website</w:t>
      </w:r>
      <w:r w:rsidRPr="007861EF">
        <w:rPr>
          <w:rStyle w:val="FootnoteReference"/>
          <w:rFonts w:ascii="Archivo" w:hAnsi="Archivo"/>
          <w:i/>
          <w:iCs/>
          <w:sz w:val="20"/>
          <w:szCs w:val="20"/>
        </w:rPr>
        <w:footnoteReference w:id="20"/>
      </w:r>
      <w:r w:rsidRPr="007861EF">
        <w:rPr>
          <w:rFonts w:ascii="Archivo" w:hAnsi="Archivo"/>
          <w:i/>
          <w:iCs/>
          <w:sz w:val="20"/>
          <w:szCs w:val="20"/>
        </w:rPr>
        <w:t xml:space="preserve">, for any species classified as Vulnerable, Endangered or Critically endangered score the species ‘1’.   </w:t>
      </w:r>
    </w:p>
    <w:p w14:paraId="6DD3311F" w14:textId="06D84EEA" w:rsidR="00F31CF4" w:rsidRPr="00193DB5" w:rsidRDefault="00F31CF4" w:rsidP="00193DB5">
      <w:pPr>
        <w:pStyle w:val="Heading6"/>
        <w:numPr>
          <w:ilvl w:val="0"/>
          <w:numId w:val="18"/>
        </w:numPr>
        <w:spacing w:before="0" w:after="240"/>
        <w:jc w:val="both"/>
        <w:rPr>
          <w:rFonts w:ascii="Archivo" w:hAnsi="Archivo"/>
        </w:rPr>
      </w:pPr>
      <w:r w:rsidRPr="00193DB5">
        <w:rPr>
          <w:rFonts w:ascii="Archivo" w:hAnsi="Archivo"/>
        </w:rPr>
        <w:t>Sharp increase in trade</w:t>
      </w:r>
    </w:p>
    <w:p w14:paraId="5A106C9E" w14:textId="77777777" w:rsidR="00F31CF4" w:rsidRPr="00193DB5" w:rsidRDefault="00F31CF4" w:rsidP="00193DB5">
      <w:pPr>
        <w:spacing w:after="240"/>
        <w:jc w:val="both"/>
        <w:rPr>
          <w:rFonts w:ascii="Archivo" w:hAnsi="Archivo"/>
          <w:sz w:val="20"/>
          <w:szCs w:val="20"/>
        </w:rPr>
      </w:pPr>
      <w:r w:rsidRPr="00193DB5">
        <w:rPr>
          <w:rFonts w:ascii="Archivo" w:hAnsi="Archivo"/>
          <w:sz w:val="20"/>
          <w:szCs w:val="20"/>
        </w:rPr>
        <w:t>Consideration of data on recent trends in harvest level can also be relevant here. In particular if there is any evidence to suggest there has been a sharp increase in either global and/or national trade.</w:t>
      </w:r>
      <w:r w:rsidRPr="00193DB5">
        <w:rPr>
          <w:rStyle w:val="FootnoteReference"/>
          <w:rFonts w:ascii="Archivo" w:hAnsi="Archivo"/>
          <w:sz w:val="20"/>
          <w:szCs w:val="20"/>
        </w:rPr>
        <w:footnoteReference w:id="21"/>
      </w:r>
      <w:r w:rsidRPr="00193DB5">
        <w:rPr>
          <w:rFonts w:ascii="Archivo" w:hAnsi="Archivo"/>
          <w:sz w:val="20"/>
          <w:szCs w:val="20"/>
        </w:rPr>
        <w:t xml:space="preserve"> If a sharp increase is detected in either, this should be considered as indicating an uptick in </w:t>
      </w:r>
      <w:proofErr w:type="gramStart"/>
      <w:r w:rsidRPr="00193DB5">
        <w:rPr>
          <w:rFonts w:ascii="Archivo" w:hAnsi="Archivo"/>
          <w:sz w:val="20"/>
          <w:szCs w:val="20"/>
        </w:rPr>
        <w:t>demand, and</w:t>
      </w:r>
      <w:proofErr w:type="gramEnd"/>
      <w:r w:rsidRPr="00193DB5">
        <w:rPr>
          <w:rFonts w:ascii="Archivo" w:hAnsi="Archivo"/>
          <w:sz w:val="20"/>
          <w:szCs w:val="20"/>
        </w:rPr>
        <w:t xml:space="preserve"> scored as an additional risk factor.  </w:t>
      </w:r>
    </w:p>
    <w:p w14:paraId="4323DB11" w14:textId="77777777" w:rsidR="00F31CF4" w:rsidRPr="007861EF" w:rsidRDefault="00F31CF4" w:rsidP="00193DB5">
      <w:pPr>
        <w:spacing w:after="240"/>
        <w:ind w:left="720"/>
        <w:jc w:val="both"/>
        <w:rPr>
          <w:rFonts w:ascii="Archivo" w:hAnsi="Archivo"/>
          <w:i/>
          <w:iCs/>
          <w:sz w:val="20"/>
          <w:szCs w:val="20"/>
        </w:rPr>
      </w:pPr>
      <w:r w:rsidRPr="007861EF">
        <w:rPr>
          <w:rFonts w:ascii="Archivo" w:hAnsi="Archivo"/>
          <w:i/>
          <w:iCs/>
          <w:sz w:val="20"/>
          <w:szCs w:val="20"/>
        </w:rPr>
        <w:t xml:space="preserve">To score this criterion, where evidence of a sharp increase is found this should be scored ‘1’. </w:t>
      </w:r>
    </w:p>
    <w:p w14:paraId="5197E3B5" w14:textId="2309E5AA" w:rsidR="00F31CF4" w:rsidRPr="00193DB5" w:rsidRDefault="00F31CF4" w:rsidP="00193DB5">
      <w:pPr>
        <w:pStyle w:val="Heading6"/>
        <w:numPr>
          <w:ilvl w:val="0"/>
          <w:numId w:val="18"/>
        </w:numPr>
        <w:spacing w:before="0" w:after="240"/>
        <w:jc w:val="both"/>
        <w:rPr>
          <w:rFonts w:ascii="Archivo" w:hAnsi="Archivo"/>
        </w:rPr>
      </w:pPr>
      <w:r w:rsidRPr="00193DB5">
        <w:rPr>
          <w:rFonts w:ascii="Archivo" w:hAnsi="Archivo"/>
        </w:rPr>
        <w:t>Illegal Trade</w:t>
      </w:r>
    </w:p>
    <w:p w14:paraId="4B076A00" w14:textId="77777777" w:rsidR="00F31CF4" w:rsidRPr="00193DB5" w:rsidRDefault="00F31CF4" w:rsidP="00193DB5">
      <w:pPr>
        <w:spacing w:after="240"/>
        <w:jc w:val="both"/>
        <w:rPr>
          <w:rFonts w:ascii="Archivo" w:hAnsi="Archivo"/>
          <w:sz w:val="20"/>
          <w:szCs w:val="20"/>
        </w:rPr>
      </w:pPr>
      <w:r w:rsidRPr="00193DB5">
        <w:rPr>
          <w:rFonts w:ascii="Archivo" w:hAnsi="Archivo"/>
          <w:sz w:val="20"/>
          <w:szCs w:val="20"/>
        </w:rPr>
        <w:t>Illegal wildlife trade can have a significant impact on species persistence. This can be assessed using a qualitative approach – firstly by looking for evidence to determine whether illegal trade exists and, secondly, by estimating the suspected magnitude of illegal trade in general terms (e.g., low, medium, high).</w:t>
      </w:r>
      <w:r w:rsidRPr="00193DB5">
        <w:rPr>
          <w:rStyle w:val="FootnoteReference"/>
          <w:rFonts w:ascii="Archivo" w:hAnsi="Archivo"/>
          <w:sz w:val="20"/>
          <w:szCs w:val="20"/>
        </w:rPr>
        <w:footnoteReference w:id="22"/>
      </w:r>
      <w:r w:rsidRPr="00193DB5">
        <w:rPr>
          <w:rFonts w:ascii="Archivo" w:hAnsi="Archivo"/>
          <w:sz w:val="20"/>
          <w:szCs w:val="20"/>
        </w:rPr>
        <w:t xml:space="preserve"> </w:t>
      </w:r>
    </w:p>
    <w:p w14:paraId="767A5445" w14:textId="77777777" w:rsidR="00F31CF4" w:rsidRPr="00193DB5" w:rsidRDefault="00F31CF4" w:rsidP="00193DB5">
      <w:pPr>
        <w:spacing w:after="240"/>
        <w:jc w:val="both"/>
        <w:rPr>
          <w:rFonts w:ascii="Archivo" w:hAnsi="Archivo"/>
          <w:sz w:val="20"/>
          <w:szCs w:val="20"/>
        </w:rPr>
      </w:pPr>
      <w:r w:rsidRPr="00193DB5">
        <w:rPr>
          <w:rFonts w:ascii="Archivo" w:hAnsi="Archivo"/>
          <w:sz w:val="20"/>
          <w:szCs w:val="20"/>
        </w:rPr>
        <w:t xml:space="preserve">If there is any evidence at the national level that illegal trade is occurring, even where evidence is patchy or the trade is considered minimal, this factor should be accounted for in the Non-Detriment Finding process.  If national data is not available, datasets which record seizures of illegally traded wildlife include </w:t>
      </w:r>
      <w:proofErr w:type="spellStart"/>
      <w:r w:rsidRPr="00193DB5">
        <w:rPr>
          <w:rFonts w:ascii="Archivo" w:hAnsi="Archivo"/>
          <w:sz w:val="20"/>
          <w:szCs w:val="20"/>
        </w:rPr>
        <w:t>i</w:t>
      </w:r>
      <w:proofErr w:type="spellEnd"/>
      <w:r w:rsidRPr="00193DB5">
        <w:rPr>
          <w:rFonts w:ascii="Archivo" w:hAnsi="Archivo"/>
          <w:sz w:val="20"/>
          <w:szCs w:val="20"/>
        </w:rPr>
        <w:t xml:space="preserve">) The TRAFFIC International Wildlife Trade Portal (open access) and ii) LEMIS, the Law Enforcement Management Information System, from the United States Fish and Wildlife Services) (closed, accessed by FOI).  A static database listing taxa involved in wildlife seizures along with their intended use-type (collated between January 1,2010 to December 31,2019) has been made available by Stringham </w:t>
      </w:r>
      <w:r w:rsidRPr="00193DB5">
        <w:rPr>
          <w:rFonts w:ascii="Archivo" w:hAnsi="Archivo"/>
          <w:i/>
          <w:iCs/>
          <w:sz w:val="20"/>
          <w:szCs w:val="20"/>
        </w:rPr>
        <w:t>et al</w:t>
      </w:r>
      <w:r w:rsidRPr="00193DB5">
        <w:rPr>
          <w:rFonts w:ascii="Archivo" w:hAnsi="Archivo"/>
          <w:sz w:val="20"/>
          <w:szCs w:val="20"/>
        </w:rPr>
        <w:t xml:space="preserve"> 2021 </w:t>
      </w:r>
      <w:r w:rsidRPr="00193DB5">
        <w:rPr>
          <w:rStyle w:val="FootnoteReference"/>
          <w:rFonts w:ascii="Archivo" w:hAnsi="Archivo"/>
          <w:sz w:val="20"/>
          <w:szCs w:val="20"/>
        </w:rPr>
        <w:footnoteReference w:id="23"/>
      </w:r>
      <w:r w:rsidRPr="00193DB5">
        <w:rPr>
          <w:rFonts w:ascii="Archivo" w:hAnsi="Archivo"/>
          <w:sz w:val="20"/>
          <w:szCs w:val="20"/>
        </w:rPr>
        <w:t>,</w:t>
      </w:r>
      <w:r w:rsidRPr="00193DB5">
        <w:rPr>
          <w:rStyle w:val="FootnoteReference"/>
          <w:rFonts w:ascii="Archivo" w:hAnsi="Archivo"/>
          <w:sz w:val="20"/>
          <w:szCs w:val="20"/>
        </w:rPr>
        <w:footnoteReference w:id="24"/>
      </w:r>
      <w:r w:rsidRPr="00193DB5">
        <w:rPr>
          <w:rFonts w:ascii="Archivo" w:hAnsi="Archivo"/>
          <w:sz w:val="20"/>
          <w:szCs w:val="20"/>
        </w:rPr>
        <w:t xml:space="preserve"> and can be interrogated using R programming language. </w:t>
      </w:r>
    </w:p>
    <w:p w14:paraId="3F4D73EF" w14:textId="2E08DB6B" w:rsidR="00E23AD3" w:rsidRPr="007861EF" w:rsidRDefault="00F31CF4" w:rsidP="00193DB5">
      <w:pPr>
        <w:spacing w:after="240"/>
        <w:ind w:left="720"/>
        <w:jc w:val="both"/>
        <w:rPr>
          <w:rFonts w:ascii="Archivo" w:hAnsi="Archivo"/>
          <w:i/>
          <w:iCs/>
          <w:sz w:val="20"/>
          <w:szCs w:val="20"/>
        </w:rPr>
      </w:pPr>
      <w:r w:rsidRPr="007861EF">
        <w:rPr>
          <w:rFonts w:ascii="Archivo" w:hAnsi="Archivo"/>
          <w:i/>
          <w:iCs/>
          <w:sz w:val="20"/>
          <w:szCs w:val="20"/>
        </w:rPr>
        <w:t xml:space="preserve">To score this criterion, where evidence of illegal trade is found this should be scored ‘1’. </w:t>
      </w:r>
      <w:bookmarkStart w:id="5" w:name="_Toc140780389"/>
    </w:p>
    <w:p w14:paraId="4F31A32E" w14:textId="3E4DFE78" w:rsidR="0012383D" w:rsidRPr="00193DB5" w:rsidRDefault="0012383D" w:rsidP="00193DB5">
      <w:pPr>
        <w:pStyle w:val="Heading3"/>
        <w:spacing w:before="0" w:after="240"/>
        <w:ind w:left="720" w:firstLine="720"/>
        <w:jc w:val="both"/>
        <w:rPr>
          <w:rFonts w:ascii="Archivo" w:hAnsi="Archivo"/>
          <w:b/>
          <w:bCs/>
          <w:color w:val="000000" w:themeColor="text1"/>
          <w:sz w:val="20"/>
          <w:szCs w:val="20"/>
          <w:lang w:val="en-US"/>
        </w:rPr>
      </w:pPr>
      <w:r w:rsidRPr="00193DB5">
        <w:rPr>
          <w:rFonts w:ascii="Archivo" w:hAnsi="Archivo"/>
          <w:b/>
          <w:bCs/>
          <w:color w:val="000000" w:themeColor="text1"/>
          <w:sz w:val="20"/>
          <w:szCs w:val="20"/>
          <w:lang w:val="en-US"/>
        </w:rPr>
        <w:t xml:space="preserve">2.2.4. </w:t>
      </w:r>
      <w:r w:rsidR="00F31CF4" w:rsidRPr="00193DB5">
        <w:rPr>
          <w:rFonts w:ascii="Archivo" w:hAnsi="Archivo"/>
          <w:b/>
          <w:bCs/>
          <w:color w:val="000000" w:themeColor="text1"/>
          <w:sz w:val="20"/>
          <w:szCs w:val="20"/>
          <w:lang w:val="en-US"/>
        </w:rPr>
        <w:t>Assessing detriment for captive-bred Birds: Source codes ‘C’, ‘D’ and ‘F’</w:t>
      </w:r>
    </w:p>
    <w:p w14:paraId="376D3A31" w14:textId="77777777" w:rsidR="00F31CF4" w:rsidRPr="00193DB5" w:rsidRDefault="00F31CF4" w:rsidP="00193DB5">
      <w:pPr>
        <w:spacing w:after="240"/>
        <w:jc w:val="both"/>
        <w:rPr>
          <w:rFonts w:ascii="Archivo" w:hAnsi="Archivo"/>
          <w:sz w:val="20"/>
          <w:szCs w:val="20"/>
        </w:rPr>
      </w:pPr>
      <w:r w:rsidRPr="00193DB5">
        <w:rPr>
          <w:rFonts w:ascii="Archivo" w:hAnsi="Archivo"/>
          <w:sz w:val="20"/>
          <w:szCs w:val="20"/>
        </w:rPr>
        <w:t>For some bird species, international trade in birds involves a significant proportion of captive bred specimens. For assessing non-detriment in captive bred species, performing an NDF of the initial breeding stock should be sufficient in closed-loop systems, with additional NDFs only required when additional wild-caught individuals are harvested to maintain production.  Considerations on the definition and treatment of captive bred specimens are outlined in CITES Res. Conf. 10.16 (Rev. CoP19)</w:t>
      </w:r>
      <w:r w:rsidRPr="00193DB5">
        <w:rPr>
          <w:rStyle w:val="FootnoteReference"/>
          <w:rFonts w:ascii="Archivo" w:hAnsi="Archivo"/>
          <w:sz w:val="20"/>
          <w:szCs w:val="20"/>
        </w:rPr>
        <w:t xml:space="preserve"> </w:t>
      </w:r>
      <w:r w:rsidRPr="00193DB5">
        <w:rPr>
          <w:rStyle w:val="FootnoteReference"/>
          <w:rFonts w:ascii="Archivo" w:hAnsi="Archivo"/>
          <w:sz w:val="20"/>
          <w:szCs w:val="20"/>
        </w:rPr>
        <w:footnoteReference w:id="25"/>
      </w:r>
      <w:r w:rsidRPr="00193DB5">
        <w:rPr>
          <w:rFonts w:ascii="Archivo" w:hAnsi="Archivo"/>
          <w:sz w:val="20"/>
          <w:szCs w:val="20"/>
        </w:rPr>
        <w:t xml:space="preserve">. BOX 2 is included to support assessment of detriment relating to captive breeding.  </w:t>
      </w:r>
    </w:p>
    <w:tbl>
      <w:tblPr>
        <w:tblStyle w:val="TableGrid"/>
        <w:tblW w:w="0" w:type="auto"/>
        <w:tblLook w:val="04A0" w:firstRow="1" w:lastRow="0" w:firstColumn="1" w:lastColumn="0" w:noHBand="0" w:noVBand="1"/>
      </w:tblPr>
      <w:tblGrid>
        <w:gridCol w:w="9016"/>
      </w:tblGrid>
      <w:tr w:rsidR="00F31CF4" w:rsidRPr="00C947F0" w14:paraId="269834F1" w14:textId="77777777" w:rsidTr="008B130B">
        <w:tc>
          <w:tcPr>
            <w:tcW w:w="9016" w:type="dxa"/>
          </w:tcPr>
          <w:p w14:paraId="656AF3AB" w14:textId="579BFD9E" w:rsidR="00F31CF4" w:rsidRPr="00193DB5" w:rsidRDefault="0012383D" w:rsidP="008B130B">
            <w:pPr>
              <w:pStyle w:val="Heading3"/>
              <w:rPr>
                <w:rFonts w:ascii="Archivo" w:hAnsi="Archivo"/>
                <w:color w:val="auto"/>
                <w:sz w:val="18"/>
                <w:szCs w:val="18"/>
                <w:lang w:val="en-US"/>
              </w:rPr>
            </w:pPr>
            <w:r w:rsidRPr="00193DB5">
              <w:rPr>
                <w:rFonts w:ascii="Archivo" w:hAnsi="Archivo"/>
                <w:b/>
                <w:bCs/>
                <w:color w:val="auto"/>
                <w:sz w:val="18"/>
                <w:szCs w:val="18"/>
                <w:lang w:val="en-US"/>
              </w:rPr>
              <w:lastRenderedPageBreak/>
              <w:t xml:space="preserve">BOX </w:t>
            </w:r>
            <w:r w:rsidR="00675FCE">
              <w:rPr>
                <w:rFonts w:ascii="Archivo" w:hAnsi="Archivo"/>
                <w:b/>
                <w:bCs/>
                <w:color w:val="auto"/>
                <w:sz w:val="18"/>
                <w:szCs w:val="18"/>
                <w:lang w:val="en-US"/>
              </w:rPr>
              <w:t>2</w:t>
            </w:r>
            <w:r w:rsidRPr="00193DB5">
              <w:rPr>
                <w:rFonts w:ascii="Archivo" w:hAnsi="Archivo"/>
                <w:color w:val="auto"/>
                <w:sz w:val="18"/>
                <w:szCs w:val="18"/>
                <w:lang w:val="en-US"/>
              </w:rPr>
              <w:t>:</w:t>
            </w:r>
            <w:r w:rsidR="00F31CF4" w:rsidRPr="00193DB5">
              <w:rPr>
                <w:rFonts w:ascii="Archivo" w:hAnsi="Archivo"/>
                <w:color w:val="auto"/>
                <w:sz w:val="18"/>
                <w:szCs w:val="18"/>
                <w:lang w:val="en-US"/>
              </w:rPr>
              <w:t xml:space="preserve"> Completing a </w:t>
            </w:r>
            <w:r w:rsidRPr="00193DB5">
              <w:rPr>
                <w:rFonts w:ascii="Archivo" w:hAnsi="Archivo"/>
                <w:color w:val="auto"/>
                <w:sz w:val="18"/>
                <w:szCs w:val="18"/>
                <w:lang w:val="en-US"/>
              </w:rPr>
              <w:t>Simple NDF</w:t>
            </w:r>
            <w:r w:rsidR="00F31CF4" w:rsidRPr="00193DB5">
              <w:rPr>
                <w:rFonts w:ascii="Archivo" w:hAnsi="Archivo"/>
                <w:color w:val="auto"/>
                <w:sz w:val="18"/>
                <w:szCs w:val="18"/>
                <w:lang w:val="en-US"/>
              </w:rPr>
              <w:t xml:space="preserve"> for Sulphur-crested Cockatoo (</w:t>
            </w:r>
            <w:proofErr w:type="spellStart"/>
            <w:r w:rsidR="00F31CF4" w:rsidRPr="00193DB5">
              <w:rPr>
                <w:rFonts w:ascii="Archivo" w:hAnsi="Archivo"/>
                <w:i/>
                <w:iCs/>
                <w:color w:val="auto"/>
                <w:sz w:val="18"/>
                <w:szCs w:val="18"/>
                <w:lang w:val="en-US"/>
              </w:rPr>
              <w:t>Cactua</w:t>
            </w:r>
            <w:proofErr w:type="spellEnd"/>
            <w:r w:rsidR="00F31CF4" w:rsidRPr="00193DB5">
              <w:rPr>
                <w:rFonts w:ascii="Archivo" w:hAnsi="Archivo"/>
                <w:i/>
                <w:iCs/>
                <w:color w:val="auto"/>
                <w:sz w:val="18"/>
                <w:szCs w:val="18"/>
                <w:lang w:val="en-US"/>
              </w:rPr>
              <w:t xml:space="preserve"> </w:t>
            </w:r>
            <w:proofErr w:type="spellStart"/>
            <w:r w:rsidR="00F31CF4" w:rsidRPr="00193DB5">
              <w:rPr>
                <w:rFonts w:ascii="Archivo" w:hAnsi="Archivo"/>
                <w:i/>
                <w:iCs/>
                <w:color w:val="auto"/>
                <w:sz w:val="18"/>
                <w:szCs w:val="18"/>
                <w:lang w:val="en-US"/>
              </w:rPr>
              <w:t>galerita</w:t>
            </w:r>
            <w:proofErr w:type="spellEnd"/>
            <w:r w:rsidR="00F31CF4" w:rsidRPr="00193DB5">
              <w:rPr>
                <w:rFonts w:ascii="Archivo" w:hAnsi="Archivo"/>
                <w:color w:val="auto"/>
                <w:sz w:val="18"/>
                <w:szCs w:val="18"/>
                <w:lang w:val="en-US"/>
              </w:rPr>
              <w:t>)</w:t>
            </w:r>
          </w:p>
          <w:p w14:paraId="5312DABC" w14:textId="77777777" w:rsidR="00F31CF4" w:rsidRPr="0012383D" w:rsidRDefault="00F31CF4" w:rsidP="00411D77">
            <w:pPr>
              <w:spacing w:after="120"/>
              <w:rPr>
                <w:rFonts w:ascii="Archivo" w:hAnsi="Archivo"/>
                <w:sz w:val="18"/>
                <w:szCs w:val="18"/>
                <w:lang w:val="en-US"/>
              </w:rPr>
            </w:pPr>
            <w:r w:rsidRPr="0012383D">
              <w:rPr>
                <w:rFonts w:ascii="Archivo" w:hAnsi="Archivo"/>
                <w:sz w:val="18"/>
                <w:szCs w:val="18"/>
                <w:lang w:val="en-US"/>
              </w:rPr>
              <w:t xml:space="preserve">This illustrative example walks through the application of the Simple NDF Template using the Sulphur crested cockatoo, a large white cockatoo found in wooded habitats in Australia, New Guinea, and some of the islands of Indonesia. </w:t>
            </w:r>
          </w:p>
          <w:p w14:paraId="5C2BF669" w14:textId="77777777" w:rsidR="00F31CF4" w:rsidRPr="0012383D" w:rsidRDefault="00F31CF4" w:rsidP="00411D77">
            <w:pPr>
              <w:pStyle w:val="BodyText"/>
              <w:numPr>
                <w:ilvl w:val="0"/>
                <w:numId w:val="13"/>
              </w:numPr>
              <w:rPr>
                <w:rFonts w:ascii="Archivo" w:hAnsi="Archivo" w:cstheme="minorHAnsi"/>
                <w:iCs/>
                <w:sz w:val="18"/>
                <w:szCs w:val="18"/>
              </w:rPr>
            </w:pPr>
            <w:r w:rsidRPr="0012383D">
              <w:rPr>
                <w:rFonts w:ascii="Archivo" w:hAnsi="Archivo" w:cstheme="minorHAnsi"/>
                <w:b/>
                <w:bCs/>
                <w:sz w:val="18"/>
                <w:szCs w:val="18"/>
                <w:lang w:val="en-US"/>
              </w:rPr>
              <w:t>Annual harvest level</w:t>
            </w:r>
            <w:r w:rsidRPr="0012383D">
              <w:rPr>
                <w:rFonts w:ascii="Archivo" w:hAnsi="Archivo" w:cstheme="minorHAnsi"/>
                <w:sz w:val="18"/>
                <w:szCs w:val="18"/>
                <w:lang w:val="en-US"/>
              </w:rPr>
              <w:t xml:space="preserve">:  </w:t>
            </w:r>
            <w:r w:rsidRPr="0012383D">
              <w:rPr>
                <w:rFonts w:ascii="Archivo" w:hAnsi="Archivo" w:cstheme="minorHAnsi"/>
                <w:iCs/>
                <w:sz w:val="18"/>
                <w:szCs w:val="18"/>
              </w:rPr>
              <w:t>There has been a ban on international trade in live wild-caught birds in Australia since 1959.  International trade in live birds exported from Australia involves low numbers of captive-bred live individuals. There is also low-level international trade in derivatives, including feathers, specimens, skeletons and skulls sourced from both wild and captive bred populations. With 8 export permits granted for trade in wild-collected derivatives (2015-2019) and 13   instances of permits granted for trade in captive-bred individual and derivatives concerning 3 permits for live individuals (N=14) and 10 permits for trade in derivatives.</w:t>
            </w:r>
          </w:p>
          <w:p w14:paraId="1D98F629" w14:textId="77777777" w:rsidR="00F31CF4" w:rsidRPr="0012383D" w:rsidRDefault="00F31CF4" w:rsidP="00411D77">
            <w:pPr>
              <w:pStyle w:val="ListParagraph"/>
              <w:numPr>
                <w:ilvl w:val="0"/>
                <w:numId w:val="13"/>
              </w:numPr>
              <w:spacing w:after="120"/>
              <w:contextualSpacing w:val="0"/>
              <w:rPr>
                <w:rFonts w:ascii="Archivo" w:hAnsi="Archivo"/>
                <w:color w:val="000000"/>
                <w:sz w:val="18"/>
                <w:szCs w:val="18"/>
              </w:rPr>
            </w:pPr>
            <w:r w:rsidRPr="0012383D">
              <w:rPr>
                <w:rFonts w:ascii="Archivo" w:hAnsi="Archivo"/>
                <w:b/>
                <w:bCs/>
                <w:sz w:val="18"/>
                <w:szCs w:val="18"/>
                <w:lang w:val="en-US"/>
              </w:rPr>
              <w:t xml:space="preserve">Area of occupancy (AOO):  </w:t>
            </w:r>
            <w:r w:rsidRPr="0012383D">
              <w:rPr>
                <w:rFonts w:ascii="Archivo" w:hAnsi="Archivo"/>
                <w:sz w:val="18"/>
                <w:szCs w:val="18"/>
                <w:lang w:val="en-US"/>
              </w:rPr>
              <w:t xml:space="preserve">Estimates of Area of occupancy are not available for this species. The Area of Habitat for this species, equivalent to the upper bound of the species AOO is estimated at </w:t>
            </w:r>
            <w:r w:rsidRPr="0012383D">
              <w:rPr>
                <w:rFonts w:ascii="Archivo" w:hAnsi="Archivo"/>
                <w:color w:val="000000"/>
                <w:sz w:val="18"/>
                <w:szCs w:val="18"/>
              </w:rPr>
              <w:t xml:space="preserve">1,781,968 </w:t>
            </w:r>
            <w:proofErr w:type="spellStart"/>
            <w:r w:rsidRPr="0012383D">
              <w:rPr>
                <w:rFonts w:ascii="Archivo" w:hAnsi="Archivo"/>
                <w:color w:val="000000"/>
                <w:sz w:val="18"/>
                <w:szCs w:val="18"/>
              </w:rPr>
              <w:t>sq</w:t>
            </w:r>
            <w:proofErr w:type="spellEnd"/>
            <w:r w:rsidRPr="0012383D">
              <w:rPr>
                <w:rFonts w:ascii="Archivo" w:hAnsi="Archivo"/>
                <w:color w:val="000000"/>
                <w:sz w:val="18"/>
                <w:szCs w:val="18"/>
              </w:rPr>
              <w:t xml:space="preserve"> km</w:t>
            </w:r>
            <w:r w:rsidRPr="0012383D">
              <w:rPr>
                <w:rFonts w:ascii="Archivo" w:hAnsi="Archivo"/>
                <w:color w:val="000000"/>
                <w:sz w:val="18"/>
                <w:szCs w:val="18"/>
                <w:vertAlign w:val="superscript"/>
              </w:rPr>
              <w:t>2</w:t>
            </w:r>
            <w:r w:rsidRPr="0012383D">
              <w:rPr>
                <w:rFonts w:ascii="Archivo" w:hAnsi="Archivo"/>
                <w:color w:val="000000"/>
                <w:sz w:val="18"/>
                <w:szCs w:val="18"/>
              </w:rPr>
              <w:t>.  As this is above &gt;20,000km</w:t>
            </w:r>
            <w:r w:rsidRPr="0012383D">
              <w:rPr>
                <w:rFonts w:ascii="Archivo" w:hAnsi="Archivo"/>
                <w:color w:val="000000"/>
                <w:sz w:val="18"/>
                <w:szCs w:val="18"/>
                <w:vertAlign w:val="superscript"/>
              </w:rPr>
              <w:t>2</w:t>
            </w:r>
            <w:r w:rsidRPr="0012383D">
              <w:rPr>
                <w:rFonts w:ascii="Archivo" w:hAnsi="Archivo"/>
                <w:color w:val="000000"/>
                <w:sz w:val="18"/>
                <w:szCs w:val="18"/>
                <w:vertAlign w:val="superscript"/>
              </w:rPr>
              <w:softHyphen/>
            </w:r>
            <w:r w:rsidRPr="0012383D">
              <w:rPr>
                <w:rFonts w:ascii="Archivo" w:hAnsi="Archivo"/>
                <w:color w:val="000000"/>
                <w:sz w:val="18"/>
                <w:szCs w:val="18"/>
              </w:rPr>
              <w:t xml:space="preserve"> this would be considered ‘large’ under the scoring system and be scored ‘1’.</w:t>
            </w:r>
          </w:p>
          <w:p w14:paraId="10283879" w14:textId="77777777" w:rsidR="00F31CF4" w:rsidRPr="0012383D" w:rsidRDefault="00F31CF4" w:rsidP="00411D77">
            <w:pPr>
              <w:pStyle w:val="ListParagraph"/>
              <w:numPr>
                <w:ilvl w:val="0"/>
                <w:numId w:val="13"/>
              </w:numPr>
              <w:spacing w:after="120" w:line="240" w:lineRule="auto"/>
              <w:contextualSpacing w:val="0"/>
              <w:rPr>
                <w:rFonts w:ascii="Archivo" w:hAnsi="Archivo"/>
                <w:color w:val="000000"/>
                <w:sz w:val="18"/>
                <w:szCs w:val="18"/>
              </w:rPr>
            </w:pPr>
            <w:r w:rsidRPr="0012383D">
              <w:rPr>
                <w:rFonts w:ascii="Archivo" w:hAnsi="Archivo"/>
                <w:b/>
                <w:bCs/>
                <w:sz w:val="18"/>
                <w:szCs w:val="18"/>
                <w:lang w:val="en-US"/>
              </w:rPr>
              <w:t xml:space="preserve">Life-history: </w:t>
            </w:r>
            <w:r w:rsidRPr="0012383D">
              <w:rPr>
                <w:rFonts w:ascii="Archivo" w:hAnsi="Archivo"/>
                <w:sz w:val="18"/>
                <w:szCs w:val="18"/>
                <w:lang w:val="en-US"/>
              </w:rPr>
              <w:t>Using generation length as a proxy, this species would be considered to have ‘slow’ life history traits, with a generation length of 27.2 years, and as such would score ‘3</w:t>
            </w:r>
            <w:proofErr w:type="gramStart"/>
            <w:r w:rsidRPr="0012383D">
              <w:rPr>
                <w:rFonts w:ascii="Archivo" w:hAnsi="Archivo"/>
                <w:sz w:val="18"/>
                <w:szCs w:val="18"/>
                <w:lang w:val="en-US"/>
              </w:rPr>
              <w:t>’ .</w:t>
            </w:r>
            <w:proofErr w:type="gramEnd"/>
          </w:p>
          <w:p w14:paraId="412A3BF7" w14:textId="77150BA2" w:rsidR="00EA7752" w:rsidRPr="00EA7752" w:rsidRDefault="00F31CF4" w:rsidP="00411D77">
            <w:pPr>
              <w:pStyle w:val="ListParagraph"/>
              <w:numPr>
                <w:ilvl w:val="0"/>
                <w:numId w:val="13"/>
              </w:numPr>
              <w:spacing w:after="120" w:line="240" w:lineRule="auto"/>
              <w:contextualSpacing w:val="0"/>
              <w:rPr>
                <w:rFonts w:ascii="Archivo" w:hAnsi="Archivo"/>
                <w:sz w:val="18"/>
                <w:szCs w:val="18"/>
                <w:vertAlign w:val="subscript"/>
                <w:lang w:val="en-US"/>
              </w:rPr>
            </w:pPr>
            <w:r w:rsidRPr="0012383D">
              <w:rPr>
                <w:rFonts w:ascii="Archivo" w:hAnsi="Archivo"/>
                <w:b/>
                <w:bCs/>
                <w:sz w:val="18"/>
                <w:szCs w:val="18"/>
                <w:lang w:val="en-US"/>
              </w:rPr>
              <w:t xml:space="preserve">Additional risk factors: </w:t>
            </w:r>
            <w:r w:rsidRPr="0012383D">
              <w:rPr>
                <w:rFonts w:ascii="Archivo" w:hAnsi="Archivo"/>
                <w:sz w:val="18"/>
                <w:szCs w:val="18"/>
                <w:lang w:val="en-US"/>
              </w:rPr>
              <w:t xml:space="preserve"> The species conservation status is Least concern, however, there is evidence that illegal trade is occurring, </w:t>
            </w:r>
            <w:r w:rsidRPr="0012383D">
              <w:rPr>
                <w:rStyle w:val="FootnoteReference"/>
                <w:rFonts w:ascii="Archivo" w:hAnsi="Archivo"/>
                <w:sz w:val="18"/>
                <w:szCs w:val="18"/>
              </w:rPr>
              <w:footnoteReference w:id="26"/>
            </w:r>
            <w:r w:rsidRPr="0012383D">
              <w:rPr>
                <w:rFonts w:ascii="Archivo" w:hAnsi="Archivo"/>
                <w:sz w:val="18"/>
                <w:szCs w:val="18"/>
                <w:lang w:val="en-US"/>
              </w:rPr>
              <w:t xml:space="preserve"> to reflect this concern the score applied is ‘1</w:t>
            </w:r>
            <w:proofErr w:type="gramStart"/>
            <w:r w:rsidRPr="0012383D">
              <w:rPr>
                <w:rFonts w:ascii="Archivo" w:hAnsi="Archivo"/>
                <w:sz w:val="18"/>
                <w:szCs w:val="18"/>
                <w:lang w:val="en-US"/>
              </w:rPr>
              <w:t>’.</w:t>
            </w:r>
            <w:r w:rsidR="00EA7752">
              <w:rPr>
                <w:rFonts w:ascii="Archivo" w:hAnsi="Archivo"/>
                <w:sz w:val="18"/>
                <w:szCs w:val="18"/>
                <w:lang w:val="en-US"/>
              </w:rPr>
              <w:t>See</w:t>
            </w:r>
            <w:proofErr w:type="gramEnd"/>
            <w:r w:rsidR="00EA7752">
              <w:rPr>
                <w:rFonts w:ascii="Archivo" w:hAnsi="Archivo"/>
                <w:sz w:val="18"/>
                <w:szCs w:val="18"/>
                <w:lang w:val="en-US"/>
              </w:rPr>
              <w:t xml:space="preserve"> </w:t>
            </w:r>
            <w:r w:rsidR="009367D1" w:rsidRPr="009367D1">
              <w:rPr>
                <w:rFonts w:ascii="Archivo" w:hAnsi="Archivo"/>
                <w:sz w:val="18"/>
                <w:szCs w:val="18"/>
                <w:highlight w:val="yellow"/>
                <w:lang w:val="en-US"/>
              </w:rPr>
              <w:t>Section 5 of Module 1</w:t>
            </w:r>
            <w:r w:rsidR="009367D1">
              <w:rPr>
                <w:rFonts w:ascii="Archivo" w:hAnsi="Archivo"/>
                <w:sz w:val="18"/>
                <w:szCs w:val="18"/>
                <w:lang w:val="en-US"/>
              </w:rPr>
              <w:t xml:space="preserve"> on how to score Simple NDFs.</w:t>
            </w:r>
          </w:p>
          <w:tbl>
            <w:tblPr>
              <w:tblpPr w:leftFromText="180" w:rightFromText="180" w:vertAnchor="page" w:horzAnchor="margin" w:tblpY="4796"/>
              <w:tblOverlap w:val="never"/>
              <w:tblW w:w="0" w:type="auto"/>
              <w:tblLook w:val="04A0" w:firstRow="1" w:lastRow="0" w:firstColumn="1" w:lastColumn="0" w:noHBand="0" w:noVBand="1"/>
            </w:tblPr>
            <w:tblGrid>
              <w:gridCol w:w="2636"/>
              <w:gridCol w:w="1831"/>
              <w:gridCol w:w="1902"/>
              <w:gridCol w:w="1702"/>
              <w:gridCol w:w="724"/>
            </w:tblGrid>
            <w:tr w:rsidR="0012383D" w:rsidRPr="0012383D" w14:paraId="7E5D3A7F" w14:textId="77777777" w:rsidTr="0012383D">
              <w:trPr>
                <w:trHeight w:val="300"/>
              </w:trPr>
              <w:tc>
                <w:tcPr>
                  <w:tcW w:w="0" w:type="auto"/>
                  <w:tcBorders>
                    <w:top w:val="nil"/>
                    <w:left w:val="nil"/>
                    <w:bottom w:val="nil"/>
                    <w:right w:val="nil"/>
                  </w:tcBorders>
                  <w:shd w:val="clear" w:color="auto" w:fill="auto"/>
                  <w:noWrap/>
                  <w:vAlign w:val="bottom"/>
                  <w:hideMark/>
                </w:tcPr>
                <w:p w14:paraId="7E05F31B" w14:textId="77777777" w:rsidR="0012383D" w:rsidRPr="0012383D" w:rsidRDefault="0012383D" w:rsidP="0012383D">
                  <w:pPr>
                    <w:rPr>
                      <w:rFonts w:ascii="Archivo" w:hAnsi="Archivo" w:cstheme="minorHAnsi"/>
                      <w:color w:val="000000"/>
                      <w:sz w:val="18"/>
                      <w:szCs w:val="18"/>
                    </w:rPr>
                  </w:pPr>
                </w:p>
              </w:tc>
              <w:tc>
                <w:tcPr>
                  <w:tcW w:w="0" w:type="auto"/>
                  <w:gridSpan w:val="3"/>
                  <w:tcBorders>
                    <w:top w:val="single" w:sz="4" w:space="0" w:color="auto"/>
                    <w:left w:val="single" w:sz="4" w:space="0" w:color="auto"/>
                    <w:bottom w:val="nil"/>
                    <w:right w:val="single" w:sz="4" w:space="0" w:color="000000"/>
                  </w:tcBorders>
                  <w:shd w:val="clear" w:color="auto" w:fill="D9D9D9"/>
                  <w:noWrap/>
                  <w:vAlign w:val="center"/>
                  <w:hideMark/>
                </w:tcPr>
                <w:p w14:paraId="454C5E7A"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Number of points</w:t>
                  </w:r>
                </w:p>
              </w:tc>
              <w:tc>
                <w:tcPr>
                  <w:tcW w:w="0" w:type="auto"/>
                  <w:vMerge w:val="restart"/>
                  <w:tcBorders>
                    <w:top w:val="single" w:sz="4" w:space="0" w:color="auto"/>
                    <w:left w:val="single" w:sz="4" w:space="0" w:color="auto"/>
                    <w:right w:val="single" w:sz="4" w:space="0" w:color="000000"/>
                  </w:tcBorders>
                  <w:shd w:val="clear" w:color="auto" w:fill="D9D9D9"/>
                  <w:vAlign w:val="center"/>
                </w:tcPr>
                <w:p w14:paraId="1DD137FA"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Score</w:t>
                  </w:r>
                </w:p>
              </w:tc>
            </w:tr>
            <w:tr w:rsidR="0012383D" w:rsidRPr="0012383D" w14:paraId="3846AFC0" w14:textId="77777777" w:rsidTr="0012383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9A21AE" w14:textId="77777777" w:rsidR="0012383D" w:rsidRPr="0012383D" w:rsidRDefault="0012383D" w:rsidP="0012383D">
                  <w:pPr>
                    <w:rPr>
                      <w:rFonts w:ascii="Archivo" w:hAnsi="Archivo" w:cstheme="minorHAnsi"/>
                      <w:b/>
                      <w:color w:val="000000"/>
                      <w:sz w:val="18"/>
                      <w:szCs w:val="18"/>
                    </w:rPr>
                  </w:pPr>
                  <w:r w:rsidRPr="0012383D">
                    <w:rPr>
                      <w:rFonts w:ascii="Archivo" w:hAnsi="Archivo" w:cstheme="minorHAnsi"/>
                      <w:b/>
                      <w:color w:val="000000"/>
                      <w:sz w:val="18"/>
                      <w:szCs w:val="18"/>
                    </w:rPr>
                    <w:t>Criteria</w:t>
                  </w:r>
                </w:p>
              </w:tc>
              <w:tc>
                <w:tcPr>
                  <w:tcW w:w="0" w:type="auto"/>
                  <w:tcBorders>
                    <w:top w:val="single" w:sz="4" w:space="0" w:color="auto"/>
                    <w:left w:val="nil"/>
                    <w:bottom w:val="nil"/>
                    <w:right w:val="single" w:sz="4" w:space="0" w:color="auto"/>
                  </w:tcBorders>
                  <w:shd w:val="clear" w:color="auto" w:fill="auto"/>
                  <w:noWrap/>
                  <w:vAlign w:val="center"/>
                  <w:hideMark/>
                </w:tcPr>
                <w:p w14:paraId="090B00AF"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1</w:t>
                  </w:r>
                </w:p>
              </w:tc>
              <w:tc>
                <w:tcPr>
                  <w:tcW w:w="0" w:type="auto"/>
                  <w:tcBorders>
                    <w:top w:val="single" w:sz="4" w:space="0" w:color="auto"/>
                    <w:left w:val="nil"/>
                    <w:bottom w:val="nil"/>
                    <w:right w:val="single" w:sz="4" w:space="0" w:color="auto"/>
                  </w:tcBorders>
                  <w:shd w:val="clear" w:color="auto" w:fill="auto"/>
                  <w:noWrap/>
                  <w:vAlign w:val="center"/>
                  <w:hideMark/>
                </w:tcPr>
                <w:p w14:paraId="0625DF58"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F5D50F"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3</w:t>
                  </w:r>
                </w:p>
              </w:tc>
              <w:tc>
                <w:tcPr>
                  <w:tcW w:w="0" w:type="auto"/>
                  <w:vMerge/>
                  <w:tcBorders>
                    <w:left w:val="single" w:sz="4" w:space="0" w:color="auto"/>
                    <w:bottom w:val="single" w:sz="4" w:space="0" w:color="auto"/>
                    <w:right w:val="single" w:sz="4" w:space="0" w:color="000000"/>
                  </w:tcBorders>
                </w:tcPr>
                <w:p w14:paraId="72FB9316" w14:textId="77777777" w:rsidR="0012383D" w:rsidRPr="0012383D" w:rsidRDefault="0012383D" w:rsidP="0012383D">
                  <w:pPr>
                    <w:jc w:val="center"/>
                    <w:rPr>
                      <w:rFonts w:ascii="Archivo" w:hAnsi="Archivo" w:cstheme="minorHAnsi"/>
                      <w:b/>
                      <w:color w:val="000000"/>
                      <w:sz w:val="18"/>
                      <w:szCs w:val="18"/>
                    </w:rPr>
                  </w:pPr>
                </w:p>
              </w:tc>
            </w:tr>
            <w:tr w:rsidR="0012383D" w:rsidRPr="0012383D" w14:paraId="37F8E3EE" w14:textId="77777777" w:rsidTr="0012383D">
              <w:trPr>
                <w:trHeight w:val="610"/>
              </w:trPr>
              <w:tc>
                <w:tcPr>
                  <w:tcW w:w="0" w:type="auto"/>
                  <w:tcBorders>
                    <w:top w:val="nil"/>
                    <w:left w:val="single" w:sz="4" w:space="0" w:color="auto"/>
                    <w:bottom w:val="single" w:sz="4" w:space="0" w:color="auto"/>
                    <w:right w:val="nil"/>
                  </w:tcBorders>
                  <w:shd w:val="clear" w:color="auto" w:fill="D9D9D9"/>
                  <w:noWrap/>
                  <w:vAlign w:val="center"/>
                  <w:hideMark/>
                </w:tcPr>
                <w:p w14:paraId="0AD11CDD" w14:textId="77777777" w:rsidR="0012383D" w:rsidRPr="0012383D" w:rsidRDefault="0012383D" w:rsidP="0012383D">
                  <w:pPr>
                    <w:rPr>
                      <w:rFonts w:ascii="Archivo" w:hAnsi="Archivo" w:cstheme="minorHAnsi"/>
                      <w:b/>
                      <w:color w:val="000000"/>
                      <w:sz w:val="18"/>
                      <w:szCs w:val="18"/>
                    </w:rPr>
                  </w:pPr>
                  <w:r w:rsidRPr="0012383D">
                    <w:rPr>
                      <w:rFonts w:ascii="Archivo" w:hAnsi="Archivo" w:cstheme="minorHAnsi"/>
                      <w:b/>
                      <w:color w:val="000000"/>
                      <w:sz w:val="18"/>
                      <w:szCs w:val="18"/>
                    </w:rPr>
                    <w:t>Annual Harvest level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4D0209"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Low (&lt;500)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53CC25"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Medium (500 - 5,000)</w:t>
                  </w:r>
                </w:p>
              </w:tc>
              <w:tc>
                <w:tcPr>
                  <w:tcW w:w="0" w:type="auto"/>
                  <w:tcBorders>
                    <w:top w:val="nil"/>
                    <w:left w:val="nil"/>
                    <w:bottom w:val="single" w:sz="4" w:space="0" w:color="auto"/>
                    <w:right w:val="single" w:sz="4" w:space="0" w:color="auto"/>
                  </w:tcBorders>
                  <w:shd w:val="clear" w:color="auto" w:fill="auto"/>
                  <w:vAlign w:val="center"/>
                  <w:hideMark/>
                </w:tcPr>
                <w:p w14:paraId="05CB55C0"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High (&gt;5,000)</w:t>
                  </w:r>
                </w:p>
              </w:tc>
              <w:tc>
                <w:tcPr>
                  <w:tcW w:w="0" w:type="auto"/>
                  <w:tcBorders>
                    <w:top w:val="single" w:sz="4" w:space="0" w:color="auto"/>
                    <w:left w:val="nil"/>
                    <w:bottom w:val="single" w:sz="4" w:space="0" w:color="auto"/>
                    <w:right w:val="single" w:sz="4" w:space="0" w:color="auto"/>
                  </w:tcBorders>
                  <w:vAlign w:val="center"/>
                </w:tcPr>
                <w:p w14:paraId="64A563F7"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1</w:t>
                  </w:r>
                </w:p>
              </w:tc>
            </w:tr>
            <w:tr w:rsidR="0012383D" w:rsidRPr="0012383D" w14:paraId="274E4A2B" w14:textId="77777777" w:rsidTr="0012383D">
              <w:trPr>
                <w:trHeight w:val="600"/>
              </w:trPr>
              <w:tc>
                <w:tcPr>
                  <w:tcW w:w="0" w:type="auto"/>
                  <w:tcBorders>
                    <w:top w:val="nil"/>
                    <w:left w:val="single" w:sz="4" w:space="0" w:color="auto"/>
                    <w:bottom w:val="single" w:sz="4" w:space="0" w:color="auto"/>
                    <w:right w:val="nil"/>
                  </w:tcBorders>
                  <w:shd w:val="clear" w:color="auto" w:fill="D9D9D9"/>
                  <w:noWrap/>
                  <w:vAlign w:val="center"/>
                  <w:hideMark/>
                </w:tcPr>
                <w:p w14:paraId="624CFC33" w14:textId="77777777" w:rsidR="0012383D" w:rsidRPr="0012383D" w:rsidRDefault="0012383D" w:rsidP="0012383D">
                  <w:pPr>
                    <w:rPr>
                      <w:rFonts w:ascii="Archivo" w:hAnsi="Archivo" w:cstheme="minorHAnsi"/>
                      <w:b/>
                      <w:color w:val="000000"/>
                      <w:sz w:val="18"/>
                      <w:szCs w:val="18"/>
                    </w:rPr>
                  </w:pPr>
                  <w:r w:rsidRPr="0012383D">
                    <w:rPr>
                      <w:rFonts w:ascii="Archivo" w:hAnsi="Archivo" w:cstheme="minorHAnsi"/>
                      <w:b/>
                      <w:color w:val="000000"/>
                      <w:sz w:val="18"/>
                      <w:szCs w:val="18"/>
                    </w:rPr>
                    <w:t xml:space="preserve">Area of occupancy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E740918"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Large (&gt;20,000km</w:t>
                  </w:r>
                  <w:r w:rsidRPr="0012383D">
                    <w:rPr>
                      <w:rFonts w:ascii="Archivo" w:hAnsi="Archivo" w:cstheme="minorHAnsi"/>
                      <w:color w:val="000000"/>
                      <w:sz w:val="18"/>
                      <w:szCs w:val="18"/>
                      <w:vertAlign w:val="superscript"/>
                    </w:rPr>
                    <w:t>2</w:t>
                  </w:r>
                  <w:r w:rsidRPr="0012383D">
                    <w:rPr>
                      <w:rFonts w:ascii="Archivo" w:hAnsi="Archivo" w:cstheme="minorHAnsi"/>
                      <w:color w:val="000000"/>
                      <w:sz w:val="18"/>
                      <w:szCs w:val="18"/>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48DAC06"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Medium (2,500 – 20,000km</w:t>
                  </w:r>
                  <w:r w:rsidRPr="0012383D">
                    <w:rPr>
                      <w:rFonts w:ascii="Archivo" w:hAnsi="Archivo" w:cstheme="minorHAnsi"/>
                      <w:color w:val="000000"/>
                      <w:sz w:val="18"/>
                      <w:szCs w:val="18"/>
                      <w:vertAlign w:val="superscript"/>
                    </w:rPr>
                    <w:t>2</w:t>
                  </w:r>
                  <w:r w:rsidRPr="0012383D">
                    <w:rPr>
                      <w:rFonts w:ascii="Archivo" w:hAnsi="Archivo" w:cstheme="minorHAnsi"/>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4A0D0E89"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Small (&lt;2,500km</w:t>
                  </w:r>
                  <w:r w:rsidRPr="0012383D">
                    <w:rPr>
                      <w:rFonts w:ascii="Archivo" w:hAnsi="Archivo" w:cstheme="minorHAnsi"/>
                      <w:color w:val="000000"/>
                      <w:sz w:val="18"/>
                      <w:szCs w:val="18"/>
                      <w:vertAlign w:val="superscript"/>
                    </w:rPr>
                    <w:t>2</w:t>
                  </w:r>
                  <w:r w:rsidRPr="0012383D">
                    <w:rPr>
                      <w:rFonts w:ascii="Archivo" w:hAnsi="Archivo" w:cstheme="minorHAnsi"/>
                      <w:color w:val="000000"/>
                      <w:sz w:val="18"/>
                      <w:szCs w:val="18"/>
                    </w:rPr>
                    <w:t>)</w:t>
                  </w:r>
                </w:p>
              </w:tc>
              <w:tc>
                <w:tcPr>
                  <w:tcW w:w="0" w:type="auto"/>
                  <w:tcBorders>
                    <w:top w:val="single" w:sz="4" w:space="0" w:color="auto"/>
                    <w:left w:val="nil"/>
                    <w:bottom w:val="single" w:sz="4" w:space="0" w:color="auto"/>
                    <w:right w:val="single" w:sz="4" w:space="0" w:color="auto"/>
                  </w:tcBorders>
                  <w:vAlign w:val="center"/>
                </w:tcPr>
                <w:p w14:paraId="71F38BFC"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1</w:t>
                  </w:r>
                </w:p>
              </w:tc>
            </w:tr>
            <w:tr w:rsidR="0012383D" w:rsidRPr="0012383D" w14:paraId="0AE1F588" w14:textId="77777777" w:rsidTr="0012383D">
              <w:trPr>
                <w:trHeight w:val="600"/>
              </w:trPr>
              <w:tc>
                <w:tcPr>
                  <w:tcW w:w="0" w:type="auto"/>
                  <w:tcBorders>
                    <w:top w:val="nil"/>
                    <w:left w:val="single" w:sz="4" w:space="0" w:color="auto"/>
                    <w:bottom w:val="single" w:sz="4" w:space="0" w:color="auto"/>
                    <w:right w:val="nil"/>
                  </w:tcBorders>
                  <w:shd w:val="clear" w:color="auto" w:fill="D9D9D9"/>
                  <w:noWrap/>
                  <w:vAlign w:val="center"/>
                  <w:hideMark/>
                </w:tcPr>
                <w:p w14:paraId="0180249F" w14:textId="77777777" w:rsidR="0012383D" w:rsidRPr="0012383D" w:rsidRDefault="0012383D" w:rsidP="0012383D">
                  <w:pPr>
                    <w:rPr>
                      <w:rFonts w:ascii="Archivo" w:hAnsi="Archivo" w:cstheme="minorHAnsi"/>
                      <w:b/>
                      <w:color w:val="000000"/>
                      <w:sz w:val="18"/>
                      <w:szCs w:val="18"/>
                    </w:rPr>
                  </w:pPr>
                  <w:r w:rsidRPr="0012383D">
                    <w:rPr>
                      <w:rFonts w:ascii="Archivo" w:hAnsi="Archivo" w:cstheme="minorHAnsi"/>
                      <w:b/>
                      <w:color w:val="000000"/>
                      <w:sz w:val="18"/>
                      <w:szCs w:val="18"/>
                    </w:rPr>
                    <w:t>Life-history</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09A8CD" w14:textId="77777777" w:rsidR="0012383D" w:rsidRPr="0012383D" w:rsidRDefault="0012383D" w:rsidP="0012383D">
                  <w:pPr>
                    <w:spacing w:after="0"/>
                    <w:jc w:val="center"/>
                    <w:rPr>
                      <w:rFonts w:ascii="Archivo" w:hAnsi="Archivo" w:cstheme="minorHAnsi"/>
                      <w:color w:val="000000"/>
                      <w:sz w:val="18"/>
                      <w:szCs w:val="18"/>
                    </w:rPr>
                  </w:pPr>
                  <w:r w:rsidRPr="0012383D">
                    <w:rPr>
                      <w:rFonts w:ascii="Archivo" w:hAnsi="Archivo" w:cstheme="minorHAnsi"/>
                      <w:color w:val="000000"/>
                      <w:sz w:val="18"/>
                      <w:szCs w:val="18"/>
                    </w:rPr>
                    <w:t>Fast</w:t>
                  </w:r>
                </w:p>
                <w:p w14:paraId="099D8D6E"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 xml:space="preserve">(&lt;3.33 </w:t>
                  </w:r>
                  <w:proofErr w:type="spellStart"/>
                  <w:r w:rsidRPr="0012383D">
                    <w:rPr>
                      <w:rFonts w:ascii="Archivo" w:hAnsi="Archivo" w:cstheme="minorHAnsi"/>
                      <w:color w:val="000000"/>
                      <w:sz w:val="18"/>
                      <w:szCs w:val="18"/>
                    </w:rPr>
                    <w:t>yrs</w:t>
                  </w:r>
                  <w:proofErr w:type="spellEnd"/>
                  <w:r w:rsidRPr="0012383D">
                    <w:rPr>
                      <w:rFonts w:ascii="Archivo" w:hAnsi="Archivo" w:cstheme="minorHAnsi"/>
                      <w:color w:val="000000"/>
                      <w:sz w:val="18"/>
                      <w:szCs w:val="18"/>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47627A" w14:textId="77777777" w:rsidR="0012383D" w:rsidRPr="009367D1" w:rsidRDefault="0012383D" w:rsidP="0012383D">
                  <w:pPr>
                    <w:jc w:val="center"/>
                    <w:rPr>
                      <w:rFonts w:ascii="Archivo" w:hAnsi="Archivo" w:cstheme="minorHAnsi"/>
                      <w:color w:val="000000" w:themeColor="text1"/>
                      <w:sz w:val="18"/>
                      <w:szCs w:val="18"/>
                    </w:rPr>
                  </w:pPr>
                  <w:r w:rsidRPr="009367D1">
                    <w:rPr>
                      <w:rFonts w:ascii="Archivo" w:hAnsi="Archivo" w:cstheme="minorHAnsi"/>
                      <w:color w:val="000000" w:themeColor="text1"/>
                      <w:sz w:val="18"/>
                      <w:szCs w:val="18"/>
                    </w:rPr>
                    <w:t>Medium</w:t>
                  </w:r>
                </w:p>
                <w:p w14:paraId="5999DCA4" w14:textId="183C485D" w:rsidR="0012383D" w:rsidRPr="009367D1" w:rsidRDefault="0012383D" w:rsidP="0012383D">
                  <w:pPr>
                    <w:jc w:val="center"/>
                    <w:rPr>
                      <w:rFonts w:ascii="Archivo" w:hAnsi="Archivo" w:cstheme="minorHAnsi"/>
                      <w:color w:val="000000" w:themeColor="text1"/>
                      <w:sz w:val="18"/>
                      <w:szCs w:val="18"/>
                    </w:rPr>
                  </w:pPr>
                  <w:r w:rsidRPr="009367D1">
                    <w:rPr>
                      <w:rFonts w:ascii="Archivo" w:hAnsi="Archivo" w:cstheme="minorHAnsi"/>
                      <w:color w:val="000000" w:themeColor="text1"/>
                      <w:sz w:val="18"/>
                      <w:szCs w:val="18"/>
                    </w:rPr>
                    <w:t xml:space="preserve">(&gt;3.33yrs-15 </w:t>
                  </w:r>
                  <w:proofErr w:type="spellStart"/>
                  <w:r w:rsidRPr="009367D1">
                    <w:rPr>
                      <w:rFonts w:ascii="Archivo" w:hAnsi="Archivo" w:cstheme="minorHAnsi"/>
                      <w:color w:val="000000" w:themeColor="text1"/>
                      <w:sz w:val="18"/>
                      <w:szCs w:val="18"/>
                    </w:rPr>
                    <w:t>yrs</w:t>
                  </w:r>
                  <w:proofErr w:type="spellEnd"/>
                  <w:r w:rsidRPr="009367D1">
                    <w:rPr>
                      <w:rFonts w:ascii="Archivo" w:hAnsi="Archivo" w:cstheme="minorHAnsi"/>
                      <w:color w:val="000000" w:themeColor="text1"/>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7EB25A76" w14:textId="77777777" w:rsidR="0012383D" w:rsidRPr="009367D1" w:rsidRDefault="0012383D" w:rsidP="0012383D">
                  <w:pPr>
                    <w:jc w:val="center"/>
                    <w:rPr>
                      <w:rFonts w:ascii="Archivo" w:hAnsi="Archivo" w:cstheme="minorHAnsi"/>
                      <w:color w:val="000000" w:themeColor="text1"/>
                      <w:sz w:val="18"/>
                      <w:szCs w:val="18"/>
                    </w:rPr>
                  </w:pPr>
                  <w:r w:rsidRPr="009367D1">
                    <w:rPr>
                      <w:rFonts w:ascii="Archivo" w:hAnsi="Archivo" w:cstheme="minorHAnsi"/>
                      <w:color w:val="000000" w:themeColor="text1"/>
                      <w:sz w:val="18"/>
                      <w:szCs w:val="18"/>
                    </w:rPr>
                    <w:t>Slow</w:t>
                  </w:r>
                </w:p>
                <w:p w14:paraId="1B456DBC" w14:textId="5BB0E915" w:rsidR="0012383D" w:rsidRPr="009367D1" w:rsidRDefault="0012383D" w:rsidP="0012383D">
                  <w:pPr>
                    <w:jc w:val="center"/>
                    <w:rPr>
                      <w:rFonts w:ascii="Archivo" w:hAnsi="Archivo" w:cstheme="minorHAnsi"/>
                      <w:color w:val="000000" w:themeColor="text1"/>
                      <w:sz w:val="18"/>
                      <w:szCs w:val="18"/>
                    </w:rPr>
                  </w:pPr>
                  <w:r w:rsidRPr="009367D1">
                    <w:rPr>
                      <w:rFonts w:ascii="Archivo" w:hAnsi="Archivo" w:cstheme="minorHAnsi"/>
                      <w:color w:val="000000" w:themeColor="text1"/>
                      <w:sz w:val="18"/>
                      <w:szCs w:val="18"/>
                    </w:rPr>
                    <w:t xml:space="preserve">(15 </w:t>
                  </w:r>
                  <w:proofErr w:type="spellStart"/>
                  <w:r w:rsidRPr="009367D1">
                    <w:rPr>
                      <w:rFonts w:ascii="Archivo" w:hAnsi="Archivo" w:cstheme="minorHAnsi"/>
                      <w:color w:val="000000" w:themeColor="text1"/>
                      <w:sz w:val="18"/>
                      <w:szCs w:val="18"/>
                    </w:rPr>
                    <w:t>yrs</w:t>
                  </w:r>
                  <w:proofErr w:type="spellEnd"/>
                  <w:r w:rsidRPr="009367D1">
                    <w:rPr>
                      <w:rFonts w:ascii="Archivo" w:hAnsi="Archivo" w:cstheme="minorHAnsi"/>
                      <w:color w:val="000000" w:themeColor="text1"/>
                      <w:sz w:val="18"/>
                      <w:szCs w:val="18"/>
                    </w:rPr>
                    <w:t>&gt;33.33)</w:t>
                  </w:r>
                </w:p>
              </w:tc>
              <w:tc>
                <w:tcPr>
                  <w:tcW w:w="0" w:type="auto"/>
                  <w:tcBorders>
                    <w:top w:val="single" w:sz="4" w:space="0" w:color="auto"/>
                    <w:left w:val="nil"/>
                    <w:bottom w:val="single" w:sz="4" w:space="0" w:color="auto"/>
                    <w:right w:val="single" w:sz="4" w:space="0" w:color="auto"/>
                  </w:tcBorders>
                  <w:vAlign w:val="center"/>
                </w:tcPr>
                <w:p w14:paraId="518F8B5B"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3</w:t>
                  </w:r>
                </w:p>
              </w:tc>
            </w:tr>
            <w:tr w:rsidR="0012383D" w:rsidRPr="0012383D" w14:paraId="3B84FD1B" w14:textId="77777777" w:rsidTr="0012383D">
              <w:trPr>
                <w:trHeight w:val="600"/>
              </w:trPr>
              <w:tc>
                <w:tcPr>
                  <w:tcW w:w="0" w:type="auto"/>
                  <w:tcBorders>
                    <w:top w:val="single" w:sz="4" w:space="0" w:color="auto"/>
                    <w:left w:val="single" w:sz="4" w:space="0" w:color="auto"/>
                    <w:bottom w:val="single" w:sz="4" w:space="0" w:color="auto"/>
                    <w:right w:val="nil"/>
                  </w:tcBorders>
                  <w:shd w:val="clear" w:color="auto" w:fill="D9D9D9"/>
                  <w:noWrap/>
                  <w:vAlign w:val="center"/>
                </w:tcPr>
                <w:p w14:paraId="19952339" w14:textId="77777777" w:rsidR="0012383D" w:rsidRPr="0012383D" w:rsidRDefault="0012383D" w:rsidP="0012383D">
                  <w:pPr>
                    <w:rPr>
                      <w:rFonts w:ascii="Archivo" w:hAnsi="Archivo" w:cstheme="minorHAnsi"/>
                      <w:b/>
                      <w:color w:val="000000"/>
                      <w:sz w:val="18"/>
                      <w:szCs w:val="18"/>
                    </w:rPr>
                  </w:pPr>
                  <w:r w:rsidRPr="0012383D">
                    <w:rPr>
                      <w:rFonts w:ascii="Archivo" w:hAnsi="Archivo" w:cstheme="minorHAnsi"/>
                      <w:b/>
                      <w:color w:val="000000"/>
                      <w:sz w:val="18"/>
                      <w:szCs w:val="18"/>
                    </w:rPr>
                    <w:t>Illegal trade and IUCN status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4F9C2" w14:textId="77777777" w:rsidR="0012383D" w:rsidRPr="0012383D" w:rsidRDefault="0012383D" w:rsidP="0012383D">
                  <w:pPr>
                    <w:jc w:val="center"/>
                    <w:rPr>
                      <w:rFonts w:ascii="Archivo" w:hAnsi="Archivo" w:cstheme="minorHAnsi"/>
                      <w:color w:val="000000"/>
                      <w:sz w:val="18"/>
                      <w:szCs w:val="18"/>
                    </w:rPr>
                  </w:pPr>
                  <w:r w:rsidRPr="0012383D">
                    <w:rPr>
                      <w:rFonts w:ascii="Archivo" w:hAnsi="Archivo" w:cstheme="minorHAnsi"/>
                      <w:color w:val="000000"/>
                      <w:sz w:val="18"/>
                      <w:szCs w:val="18"/>
                    </w:rPr>
                    <w:t xml:space="preserve">If levels of illegal trade are known, they should be included under “Annual harvest level”. If unknown, and suspected to be detrimental, give a </w:t>
                  </w:r>
                  <w:r w:rsidRPr="0012383D">
                    <w:rPr>
                      <w:rFonts w:ascii="Archivo" w:hAnsi="Archivo" w:cstheme="minorHAnsi"/>
                      <w:b/>
                      <w:color w:val="000000"/>
                      <w:sz w:val="18"/>
                      <w:szCs w:val="18"/>
                    </w:rPr>
                    <w:t>maximum score of 1 point. Similarly, if the status of the species is</w:t>
                  </w:r>
                  <w:r w:rsidRPr="0012383D">
                    <w:rPr>
                      <w:rFonts w:ascii="Archivo" w:hAnsi="Archivo" w:cstheme="minorHAnsi"/>
                      <w:color w:val="000000"/>
                      <w:sz w:val="18"/>
                      <w:szCs w:val="18"/>
                    </w:rPr>
                    <w:t xml:space="preserve"> </w:t>
                  </w:r>
                  <w:proofErr w:type="spellStart"/>
                  <w:r w:rsidRPr="0012383D">
                    <w:rPr>
                      <w:rFonts w:ascii="Archivo" w:hAnsi="Archivo" w:cstheme="minorHAnsi"/>
                      <w:color w:val="000000"/>
                      <w:sz w:val="18"/>
                      <w:szCs w:val="18"/>
                    </w:rPr>
                    <w:t>is</w:t>
                  </w:r>
                  <w:proofErr w:type="spellEnd"/>
                  <w:r w:rsidRPr="0012383D">
                    <w:rPr>
                      <w:rFonts w:ascii="Archivo" w:hAnsi="Archivo" w:cstheme="minorHAnsi"/>
                      <w:color w:val="000000"/>
                      <w:sz w:val="18"/>
                      <w:szCs w:val="18"/>
                    </w:rPr>
                    <w:t xml:space="preserve"> listed as VU, EN or CR in the IUCN Red List </w:t>
                  </w:r>
                  <w:proofErr w:type="gramStart"/>
                  <w:r w:rsidRPr="0012383D">
                    <w:rPr>
                      <w:rFonts w:ascii="Archivo" w:hAnsi="Archivo" w:cstheme="minorHAnsi"/>
                      <w:color w:val="000000"/>
                      <w:sz w:val="18"/>
                      <w:szCs w:val="18"/>
                    </w:rPr>
                    <w:t>Of</w:t>
                  </w:r>
                  <w:proofErr w:type="gramEnd"/>
                  <w:r w:rsidRPr="0012383D">
                    <w:rPr>
                      <w:rFonts w:ascii="Archivo" w:hAnsi="Archivo" w:cstheme="minorHAnsi"/>
                      <w:color w:val="000000"/>
                      <w:sz w:val="18"/>
                      <w:szCs w:val="18"/>
                    </w:rPr>
                    <w:t xml:space="preserve"> Threatened Species, give a </w:t>
                  </w:r>
                  <w:r w:rsidRPr="0012383D">
                    <w:rPr>
                      <w:rFonts w:ascii="Archivo" w:hAnsi="Archivo" w:cstheme="minorHAnsi"/>
                      <w:b/>
                      <w:color w:val="000000"/>
                      <w:sz w:val="18"/>
                      <w:szCs w:val="18"/>
                    </w:rPr>
                    <w:t>maximum score of 1 point</w:t>
                  </w:r>
                </w:p>
              </w:tc>
              <w:tc>
                <w:tcPr>
                  <w:tcW w:w="0" w:type="auto"/>
                  <w:tcBorders>
                    <w:top w:val="single" w:sz="4" w:space="0" w:color="auto"/>
                    <w:left w:val="nil"/>
                    <w:bottom w:val="single" w:sz="4" w:space="0" w:color="auto"/>
                    <w:right w:val="single" w:sz="4" w:space="0" w:color="auto"/>
                  </w:tcBorders>
                  <w:vAlign w:val="center"/>
                </w:tcPr>
                <w:p w14:paraId="679E35DB" w14:textId="77777777" w:rsidR="0012383D" w:rsidRPr="0012383D" w:rsidRDefault="0012383D" w:rsidP="0012383D">
                  <w:pPr>
                    <w:jc w:val="center"/>
                    <w:rPr>
                      <w:rFonts w:ascii="Archivo" w:hAnsi="Archivo" w:cstheme="minorHAnsi"/>
                      <w:b/>
                      <w:color w:val="000000"/>
                      <w:sz w:val="18"/>
                      <w:szCs w:val="18"/>
                    </w:rPr>
                  </w:pPr>
                  <w:r w:rsidRPr="0012383D">
                    <w:rPr>
                      <w:rFonts w:ascii="Archivo" w:hAnsi="Archivo" w:cstheme="minorHAnsi"/>
                      <w:b/>
                      <w:color w:val="000000"/>
                      <w:sz w:val="18"/>
                      <w:szCs w:val="18"/>
                    </w:rPr>
                    <w:t>1</w:t>
                  </w:r>
                </w:p>
              </w:tc>
            </w:tr>
          </w:tbl>
          <w:p w14:paraId="0E351CA2" w14:textId="75D9F005" w:rsidR="00F31CF4" w:rsidRPr="0012383D" w:rsidRDefault="00F31CF4" w:rsidP="008B130B">
            <w:pPr>
              <w:rPr>
                <w:rFonts w:ascii="Archivo" w:hAnsi="Archivo"/>
                <w:sz w:val="18"/>
                <w:szCs w:val="18"/>
                <w:lang w:val="en-US"/>
              </w:rPr>
            </w:pPr>
          </w:p>
        </w:tc>
      </w:tr>
    </w:tbl>
    <w:p w14:paraId="3833BCF8" w14:textId="77777777" w:rsidR="00F31CF4" w:rsidRPr="00C947F0" w:rsidRDefault="00F31CF4" w:rsidP="00F31CF4">
      <w:pPr>
        <w:rPr>
          <w:rFonts w:ascii="Archivo" w:hAnsi="Archivo"/>
          <w:sz w:val="20"/>
          <w:szCs w:val="20"/>
          <w:lang w:val="en-US"/>
        </w:rPr>
      </w:pPr>
    </w:p>
    <w:bookmarkEnd w:id="5"/>
    <w:p w14:paraId="33E55182" w14:textId="4EF71EFB" w:rsidR="00F31CF4" w:rsidRPr="00B46B77" w:rsidRDefault="0012383D" w:rsidP="00B46B77">
      <w:pPr>
        <w:pStyle w:val="Heading2"/>
        <w:numPr>
          <w:ilvl w:val="0"/>
          <w:numId w:val="20"/>
        </w:numPr>
        <w:spacing w:before="0" w:after="240"/>
        <w:jc w:val="both"/>
        <w:rPr>
          <w:rFonts w:ascii="Archivo" w:hAnsi="Archivo"/>
          <w:b/>
          <w:bCs/>
          <w:sz w:val="24"/>
          <w:szCs w:val="24"/>
        </w:rPr>
      </w:pPr>
      <w:r w:rsidRPr="00C947F0">
        <w:rPr>
          <w:rFonts w:ascii="Archivo" w:hAnsi="Archivo"/>
          <w:b/>
          <w:bCs/>
          <w:sz w:val="24"/>
          <w:szCs w:val="24"/>
        </w:rPr>
        <w:t>Conduct</w:t>
      </w:r>
      <w:r>
        <w:rPr>
          <w:rFonts w:ascii="Archivo" w:hAnsi="Archivo"/>
          <w:b/>
          <w:bCs/>
          <w:sz w:val="24"/>
          <w:szCs w:val="24"/>
        </w:rPr>
        <w:t>ing</w:t>
      </w:r>
      <w:r w:rsidRPr="00C947F0">
        <w:rPr>
          <w:rFonts w:ascii="Archivo" w:hAnsi="Archivo"/>
          <w:b/>
          <w:bCs/>
          <w:sz w:val="24"/>
          <w:szCs w:val="24"/>
        </w:rPr>
        <w:t xml:space="preserve"> a </w:t>
      </w:r>
      <w:r>
        <w:rPr>
          <w:rFonts w:ascii="Archivo" w:hAnsi="Archivo"/>
          <w:b/>
          <w:bCs/>
          <w:sz w:val="24"/>
          <w:szCs w:val="24"/>
        </w:rPr>
        <w:t xml:space="preserve">Complex </w:t>
      </w:r>
      <w:r w:rsidRPr="00C947F0">
        <w:rPr>
          <w:rFonts w:ascii="Archivo" w:hAnsi="Archivo"/>
          <w:b/>
          <w:bCs/>
          <w:sz w:val="24"/>
          <w:szCs w:val="24"/>
        </w:rPr>
        <w:t>NDF</w:t>
      </w:r>
    </w:p>
    <w:p w14:paraId="48DB5B6F" w14:textId="253C43E8" w:rsidR="0012383D" w:rsidRPr="00B46B77" w:rsidRDefault="00F31CF4" w:rsidP="00B46B77">
      <w:pPr>
        <w:pStyle w:val="Heading3"/>
        <w:numPr>
          <w:ilvl w:val="1"/>
          <w:numId w:val="20"/>
        </w:numPr>
        <w:spacing w:before="0" w:after="240"/>
        <w:jc w:val="both"/>
        <w:rPr>
          <w:rFonts w:ascii="Archivo" w:hAnsi="Archivo"/>
          <w:b/>
          <w:bCs/>
          <w:color w:val="2F5497"/>
        </w:rPr>
      </w:pPr>
      <w:bookmarkStart w:id="6" w:name="_Toc140780390"/>
      <w:r w:rsidRPr="0012383D">
        <w:rPr>
          <w:rFonts w:ascii="Archivo" w:hAnsi="Archivo"/>
          <w:b/>
          <w:bCs/>
          <w:color w:val="2F5497"/>
        </w:rPr>
        <w:t>General approach</w:t>
      </w:r>
      <w:r w:rsidR="0012383D">
        <w:rPr>
          <w:rFonts w:ascii="Archivo" w:hAnsi="Archivo"/>
          <w:b/>
          <w:bCs/>
          <w:color w:val="2F5497"/>
        </w:rPr>
        <w:t xml:space="preserve"> </w:t>
      </w:r>
      <w:r w:rsidRPr="0012383D">
        <w:rPr>
          <w:rFonts w:ascii="Archivo" w:hAnsi="Archivo"/>
          <w:b/>
          <w:bCs/>
          <w:color w:val="2F5497"/>
        </w:rPr>
        <w:t>- criteria and evaluation</w:t>
      </w:r>
      <w:bookmarkEnd w:id="6"/>
    </w:p>
    <w:p w14:paraId="3FB2F018" w14:textId="224F7A3B" w:rsidR="00F31CF4" w:rsidRPr="00C947F0" w:rsidRDefault="00F31CF4" w:rsidP="00B46B77">
      <w:pPr>
        <w:spacing w:after="240"/>
        <w:jc w:val="both"/>
        <w:rPr>
          <w:rFonts w:ascii="Archivo" w:hAnsi="Archivo"/>
          <w:sz w:val="20"/>
          <w:szCs w:val="20"/>
        </w:rPr>
      </w:pPr>
      <w:r w:rsidRPr="00C947F0">
        <w:rPr>
          <w:rFonts w:ascii="Archivo" w:hAnsi="Archivo"/>
          <w:sz w:val="20"/>
          <w:szCs w:val="20"/>
        </w:rPr>
        <w:t>In the instances where having completed a first evaluation against the criteria for the simple NDF non-detriment cannot easily be established (i.e.</w:t>
      </w:r>
      <w:r w:rsidR="0012383D">
        <w:rPr>
          <w:rFonts w:ascii="Archivo" w:hAnsi="Archivo"/>
          <w:sz w:val="20"/>
          <w:szCs w:val="20"/>
        </w:rPr>
        <w:t>,</w:t>
      </w:r>
      <w:r w:rsidRPr="00C947F0">
        <w:rPr>
          <w:rFonts w:ascii="Archivo" w:hAnsi="Archivo"/>
          <w:sz w:val="20"/>
          <w:szCs w:val="20"/>
        </w:rPr>
        <w:t xml:space="preserve"> score= 5&gt;), then a </w:t>
      </w:r>
      <w:proofErr w:type="gramStart"/>
      <w:r w:rsidRPr="00C947F0">
        <w:rPr>
          <w:rFonts w:ascii="Archivo" w:hAnsi="Archivo"/>
          <w:sz w:val="20"/>
          <w:szCs w:val="20"/>
        </w:rPr>
        <w:t>further more</w:t>
      </w:r>
      <w:proofErr w:type="gramEnd"/>
      <w:r w:rsidRPr="00C947F0">
        <w:rPr>
          <w:rFonts w:ascii="Archivo" w:hAnsi="Archivo"/>
          <w:sz w:val="20"/>
          <w:szCs w:val="20"/>
        </w:rPr>
        <w:t xml:space="preserve"> detailed evaluation should be completed. The following guidance considers factors relevant to birds and seeks to provide solutions to address issues associated with data scarcity.</w:t>
      </w:r>
    </w:p>
    <w:p w14:paraId="4EB1B224" w14:textId="432A1C71" w:rsidR="00F31CF4" w:rsidRPr="00C947F0" w:rsidRDefault="00F31CF4" w:rsidP="00B46B77">
      <w:pPr>
        <w:spacing w:after="240"/>
        <w:jc w:val="both"/>
        <w:rPr>
          <w:rFonts w:ascii="Archivo" w:hAnsi="Archivo"/>
          <w:sz w:val="20"/>
          <w:szCs w:val="20"/>
        </w:rPr>
      </w:pPr>
      <w:r w:rsidRPr="00C947F0">
        <w:rPr>
          <w:rFonts w:ascii="Archivo" w:hAnsi="Archivo"/>
          <w:sz w:val="20"/>
          <w:szCs w:val="20"/>
        </w:rPr>
        <w:t>In the case of birds, the criteria concerning mean body size, minimum body size at maturity and catch-per unit effort are considered less effective in supporting a conclusion for non-detriment, and so detail on their assessment has not been included.  In the case of mean body size, unlike other taxa, for many birds there is no direct correlation between mean body size and the species vulnerability based on life history</w:t>
      </w:r>
      <w:r w:rsidRPr="00C947F0">
        <w:rPr>
          <w:rStyle w:val="FootnoteReference"/>
          <w:rFonts w:ascii="Archivo" w:hAnsi="Archivo"/>
          <w:sz w:val="20"/>
          <w:szCs w:val="20"/>
          <w:highlight w:val="yellow"/>
        </w:rPr>
        <w:footnoteReference w:id="27"/>
      </w:r>
      <w:r w:rsidRPr="00C947F0">
        <w:rPr>
          <w:rFonts w:ascii="Archivo" w:hAnsi="Archivo"/>
          <w:sz w:val="20"/>
          <w:szCs w:val="20"/>
        </w:rPr>
        <w:t xml:space="preserve">. </w:t>
      </w:r>
    </w:p>
    <w:p w14:paraId="120BFEB9"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lastRenderedPageBreak/>
        <w:t>There is an optimum harvest level, where exceeding this will cause the population to go into decline and harvest becomes unsustainable. For birds, evidence suggests that for some species there is a fine line between capture volumes being sustainable and dramatically unsustainable</w:t>
      </w:r>
      <w:r w:rsidRPr="00C947F0">
        <w:rPr>
          <w:rStyle w:val="FootnoteReference"/>
          <w:rFonts w:ascii="Archivo" w:hAnsi="Archivo"/>
          <w:sz w:val="20"/>
          <w:szCs w:val="20"/>
        </w:rPr>
        <w:footnoteReference w:id="28"/>
      </w:r>
      <w:r w:rsidRPr="00C947F0">
        <w:rPr>
          <w:rFonts w:ascii="Archivo" w:hAnsi="Archivo"/>
          <w:sz w:val="20"/>
          <w:szCs w:val="20"/>
        </w:rPr>
        <w:t xml:space="preserve">.   </w:t>
      </w:r>
    </w:p>
    <w:p w14:paraId="7137CB68" w14:textId="4191E53B" w:rsidR="00F31CF4" w:rsidRPr="00C947F0" w:rsidRDefault="00F31CF4" w:rsidP="00B46B77">
      <w:pPr>
        <w:spacing w:after="240"/>
        <w:jc w:val="both"/>
        <w:rPr>
          <w:rFonts w:ascii="Archivo" w:hAnsi="Archivo"/>
          <w:sz w:val="20"/>
          <w:szCs w:val="20"/>
        </w:rPr>
      </w:pPr>
      <w:r w:rsidRPr="00C947F0">
        <w:rPr>
          <w:rFonts w:ascii="Archivo" w:hAnsi="Archivo"/>
          <w:sz w:val="20"/>
          <w:szCs w:val="20"/>
        </w:rPr>
        <w:t>There is not a robust method to assess optimum harvest levels and infer the potential trade impact for birds. Further, in reality market demand often sits well below this.  Therefore, assessors must weigh the evidence available on annual harvest level data in relation to the population abundance, and the species life history traits (i.e.</w:t>
      </w:r>
      <w:r w:rsidR="0012383D">
        <w:rPr>
          <w:rFonts w:ascii="Archivo" w:hAnsi="Archivo"/>
          <w:sz w:val="20"/>
          <w:szCs w:val="20"/>
        </w:rPr>
        <w:t>,</w:t>
      </w:r>
      <w:r w:rsidRPr="00C947F0">
        <w:rPr>
          <w:rFonts w:ascii="Archivo" w:hAnsi="Archivo"/>
          <w:sz w:val="20"/>
          <w:szCs w:val="20"/>
        </w:rPr>
        <w:t xml:space="preserve"> the intrinsic rate of increase).  With the focus placed on achieving non-detriment through continuous monitoring of the impact of harvesting and other management interventions.  </w:t>
      </w:r>
    </w:p>
    <w:p w14:paraId="04834A93" w14:textId="2CE28C12" w:rsidR="00F31CF4" w:rsidRPr="0012383D" w:rsidRDefault="00F31CF4" w:rsidP="00B46B77">
      <w:pPr>
        <w:pStyle w:val="Heading4"/>
        <w:numPr>
          <w:ilvl w:val="2"/>
          <w:numId w:val="20"/>
        </w:numPr>
        <w:spacing w:before="0" w:after="240"/>
        <w:jc w:val="both"/>
        <w:rPr>
          <w:rFonts w:ascii="Archivo" w:hAnsi="Archivo"/>
          <w:b/>
          <w:bCs/>
          <w:i w:val="0"/>
          <w:iCs w:val="0"/>
          <w:color w:val="000000" w:themeColor="text1"/>
          <w:sz w:val="20"/>
          <w:szCs w:val="20"/>
        </w:rPr>
      </w:pPr>
      <w:r w:rsidRPr="0012383D">
        <w:rPr>
          <w:rFonts w:ascii="Archivo" w:hAnsi="Archivo"/>
          <w:b/>
          <w:bCs/>
          <w:i w:val="0"/>
          <w:iCs w:val="0"/>
          <w:color w:val="000000" w:themeColor="text1"/>
          <w:sz w:val="20"/>
          <w:szCs w:val="20"/>
        </w:rPr>
        <w:t>Biological characteristics and life history traits</w:t>
      </w:r>
    </w:p>
    <w:p w14:paraId="3BD08B32" w14:textId="77B49E36" w:rsidR="00F31CF4" w:rsidRPr="00C947F0" w:rsidRDefault="00F31CF4" w:rsidP="00B46B77">
      <w:pPr>
        <w:pStyle w:val="Heading5"/>
        <w:numPr>
          <w:ilvl w:val="0"/>
          <w:numId w:val="21"/>
        </w:numPr>
        <w:spacing w:before="0" w:after="240"/>
        <w:jc w:val="both"/>
        <w:rPr>
          <w:rFonts w:ascii="Archivo" w:hAnsi="Archivo"/>
          <w:sz w:val="20"/>
          <w:szCs w:val="20"/>
        </w:rPr>
      </w:pPr>
      <w:r w:rsidRPr="00C947F0">
        <w:rPr>
          <w:rFonts w:ascii="Archivo" w:hAnsi="Archivo"/>
          <w:sz w:val="20"/>
          <w:szCs w:val="20"/>
        </w:rPr>
        <w:t xml:space="preserve">Population abundance </w:t>
      </w:r>
    </w:p>
    <w:p w14:paraId="4A78D3EE" w14:textId="77777777" w:rsidR="00F31CF4" w:rsidRPr="00C947F0" w:rsidRDefault="00F31CF4" w:rsidP="00B46B77">
      <w:pPr>
        <w:spacing w:after="240"/>
        <w:jc w:val="both"/>
        <w:rPr>
          <w:rFonts w:ascii="Archivo" w:hAnsi="Archivo"/>
          <w:color w:val="7030A0"/>
          <w:sz w:val="20"/>
          <w:szCs w:val="20"/>
        </w:rPr>
      </w:pPr>
      <w:r w:rsidRPr="00C947F0">
        <w:rPr>
          <w:rFonts w:ascii="Archivo" w:hAnsi="Archivo"/>
          <w:sz w:val="20"/>
          <w:szCs w:val="20"/>
        </w:rPr>
        <w:t>Population abundance refers to the number of individuals in a given area.  When populations are harvested, at levels higher than the rate of replacement abundance declines.</w:t>
      </w:r>
    </w:p>
    <w:p w14:paraId="18673857" w14:textId="5F0DF45D" w:rsidR="00F31CF4" w:rsidRPr="00C947F0" w:rsidRDefault="00F31CF4" w:rsidP="00B46B77">
      <w:pPr>
        <w:spacing w:after="240"/>
        <w:jc w:val="both"/>
        <w:rPr>
          <w:rFonts w:ascii="Archivo" w:hAnsi="Archivo"/>
          <w:sz w:val="20"/>
          <w:szCs w:val="20"/>
        </w:rPr>
      </w:pPr>
      <w:r w:rsidRPr="00C947F0">
        <w:rPr>
          <w:rFonts w:ascii="Archivo" w:hAnsi="Archivo"/>
          <w:sz w:val="20"/>
          <w:szCs w:val="20"/>
        </w:rPr>
        <w:t xml:space="preserve">Information on population abundance for the national population and the sub-population where harvest occurs based on direct observation would be considered the gold standard for assessing the impact of trade. However, this data is often scarce, and can be resource intensive to collect. In </w:t>
      </w:r>
      <w:r w:rsidRPr="00C947F0">
        <w:rPr>
          <w:rFonts w:ascii="Archivo" w:hAnsi="Archivo" w:cstheme="minorHAnsi"/>
          <w:sz w:val="20"/>
          <w:szCs w:val="20"/>
        </w:rPr>
        <w:t xml:space="preserve">circumstances where such data is not available, abundance could be estimated, inferred or projected using indirect methods.  </w:t>
      </w:r>
    </w:p>
    <w:p w14:paraId="4AE92424" w14:textId="024DB209" w:rsidR="00F31CF4" w:rsidRPr="00C947F0" w:rsidRDefault="00F31CF4" w:rsidP="00B46B77">
      <w:pPr>
        <w:pStyle w:val="Heading6"/>
        <w:numPr>
          <w:ilvl w:val="0"/>
          <w:numId w:val="21"/>
        </w:numPr>
        <w:spacing w:before="0" w:after="240"/>
        <w:jc w:val="both"/>
        <w:rPr>
          <w:rFonts w:ascii="Archivo" w:hAnsi="Archivo"/>
        </w:rPr>
      </w:pPr>
      <w:r w:rsidRPr="00C947F0">
        <w:rPr>
          <w:rFonts w:ascii="Archivo" w:hAnsi="Archivo"/>
        </w:rPr>
        <w:t>Population abundance monitoring data</w:t>
      </w:r>
    </w:p>
    <w:p w14:paraId="6D1C5E4E" w14:textId="28BFEF8A" w:rsidR="00F31CF4" w:rsidRPr="00C947F0" w:rsidRDefault="00F31CF4" w:rsidP="00B46B77">
      <w:pPr>
        <w:spacing w:after="240"/>
        <w:jc w:val="both"/>
        <w:rPr>
          <w:rFonts w:ascii="Archivo" w:hAnsi="Archivo"/>
          <w:sz w:val="20"/>
          <w:szCs w:val="20"/>
        </w:rPr>
      </w:pPr>
      <w:r w:rsidRPr="00C947F0">
        <w:rPr>
          <w:rFonts w:ascii="Archivo" w:hAnsi="Archivo"/>
          <w:sz w:val="20"/>
          <w:szCs w:val="20"/>
        </w:rPr>
        <w:t>Birds are by far the most monitored taxon globally.</w:t>
      </w:r>
      <w:r w:rsidRPr="00C947F0">
        <w:rPr>
          <w:rStyle w:val="FootnoteReference"/>
          <w:rFonts w:ascii="Archivo" w:hAnsi="Archivo"/>
          <w:sz w:val="20"/>
          <w:szCs w:val="20"/>
        </w:rPr>
        <w:footnoteReference w:id="29"/>
      </w:r>
      <w:r w:rsidRPr="00C947F0">
        <w:rPr>
          <w:rFonts w:ascii="Archivo" w:hAnsi="Archivo"/>
          <w:sz w:val="20"/>
          <w:szCs w:val="20"/>
        </w:rPr>
        <w:t xml:space="preserve"> There are a growing number of records being contributed by citizen scientists</w:t>
      </w:r>
      <w:r w:rsidRPr="00C947F0">
        <w:rPr>
          <w:rStyle w:val="FootnoteReference"/>
          <w:rFonts w:ascii="Archivo" w:hAnsi="Archivo"/>
          <w:sz w:val="20"/>
          <w:szCs w:val="20"/>
        </w:rPr>
        <w:footnoteReference w:id="30"/>
      </w:r>
      <w:r w:rsidRPr="00C947F0">
        <w:rPr>
          <w:rFonts w:ascii="Archivo" w:hAnsi="Archivo"/>
          <w:sz w:val="20"/>
          <w:szCs w:val="20"/>
        </w:rPr>
        <w:t>, with the data being increasingly integrated into population analyses</w:t>
      </w:r>
      <w:r w:rsidRPr="00C947F0">
        <w:rPr>
          <w:rStyle w:val="FootnoteReference"/>
          <w:rFonts w:ascii="Archivo" w:hAnsi="Archivo"/>
          <w:sz w:val="20"/>
          <w:szCs w:val="20"/>
        </w:rPr>
        <w:footnoteReference w:id="31"/>
      </w:r>
      <w:r w:rsidRPr="00C947F0">
        <w:rPr>
          <w:rFonts w:ascii="Archivo" w:hAnsi="Archivo"/>
          <w:sz w:val="20"/>
          <w:szCs w:val="20"/>
        </w:rPr>
        <w:t>,</w:t>
      </w:r>
      <w:r w:rsidRPr="00C947F0">
        <w:rPr>
          <w:rStyle w:val="FootnoteReference"/>
          <w:rFonts w:ascii="Archivo" w:hAnsi="Archivo"/>
          <w:sz w:val="20"/>
          <w:szCs w:val="20"/>
        </w:rPr>
        <w:footnoteReference w:id="32"/>
      </w:r>
      <w:r w:rsidRPr="00C947F0">
        <w:rPr>
          <w:rFonts w:ascii="Archivo" w:hAnsi="Archivo"/>
          <w:sz w:val="20"/>
          <w:szCs w:val="20"/>
        </w:rPr>
        <w:t xml:space="preserve">.  If estimates are available this data should be prioritised.  Population abundance data may be available in the form of national institution monitoring records, in published datasets, academic journals, and as part of civil society data holdings. More detail on the assessment of monitoring methods and their robustness is included in </w:t>
      </w:r>
      <w:r w:rsidR="006D5D8E" w:rsidRPr="006D5D8E">
        <w:rPr>
          <w:rFonts w:ascii="Archivo" w:hAnsi="Archivo"/>
          <w:sz w:val="20"/>
          <w:szCs w:val="20"/>
          <w:highlight w:val="yellow"/>
        </w:rPr>
        <w:t>Section 3.2</w:t>
      </w:r>
      <w:r w:rsidR="006D5D8E">
        <w:rPr>
          <w:rFonts w:ascii="Archivo" w:hAnsi="Archivo"/>
          <w:sz w:val="20"/>
          <w:szCs w:val="20"/>
        </w:rPr>
        <w:t>.</w:t>
      </w:r>
    </w:p>
    <w:p w14:paraId="745ABF62" w14:textId="41AE174E" w:rsidR="00F31CF4" w:rsidRPr="0012383D" w:rsidRDefault="00F31CF4" w:rsidP="00B46B77">
      <w:pPr>
        <w:pStyle w:val="ListParagraph"/>
        <w:numPr>
          <w:ilvl w:val="0"/>
          <w:numId w:val="21"/>
        </w:numPr>
        <w:spacing w:after="240"/>
        <w:contextualSpacing w:val="0"/>
        <w:jc w:val="both"/>
        <w:rPr>
          <w:rFonts w:ascii="Archivo" w:hAnsi="Archivo"/>
          <w:b/>
          <w:bCs/>
          <w:sz w:val="20"/>
          <w:szCs w:val="20"/>
        </w:rPr>
      </w:pPr>
      <w:r w:rsidRPr="0012383D">
        <w:rPr>
          <w:rFonts w:ascii="Archivo" w:hAnsi="Archivo"/>
          <w:b/>
          <w:bCs/>
          <w:sz w:val="20"/>
          <w:szCs w:val="20"/>
        </w:rPr>
        <w:t xml:space="preserve">The Living Planet Index Database of Population Abundance </w:t>
      </w:r>
    </w:p>
    <w:p w14:paraId="5CDC5A72" w14:textId="77777777" w:rsidR="00FE1DBF" w:rsidRDefault="00F31CF4" w:rsidP="00B46B77">
      <w:pPr>
        <w:spacing w:after="240"/>
        <w:jc w:val="both"/>
        <w:rPr>
          <w:rFonts w:ascii="Archivo" w:hAnsi="Archivo"/>
          <w:sz w:val="20"/>
          <w:szCs w:val="20"/>
        </w:rPr>
      </w:pPr>
      <w:r w:rsidRPr="00C947F0">
        <w:rPr>
          <w:rFonts w:ascii="Archivo" w:hAnsi="Archivo"/>
          <w:sz w:val="20"/>
          <w:szCs w:val="20"/>
        </w:rPr>
        <w:t>However, in the absence of national monitoring records, referenced data on population abundances have been compiled by the Living Planet Index</w:t>
      </w:r>
      <w:r w:rsidRPr="00C947F0">
        <w:rPr>
          <w:rStyle w:val="FootnoteReference"/>
          <w:rFonts w:ascii="Archivo" w:hAnsi="Archivo"/>
          <w:sz w:val="20"/>
          <w:szCs w:val="20"/>
        </w:rPr>
        <w:footnoteReference w:id="33"/>
      </w:r>
      <w:r w:rsidRPr="00C947F0">
        <w:rPr>
          <w:rFonts w:ascii="Archivo" w:hAnsi="Archivo"/>
          <w:sz w:val="20"/>
          <w:szCs w:val="20"/>
        </w:rPr>
        <w:t xml:space="preserve">  for 17,576 populations (national and/or subnational populations) for 1,802 bird species</w:t>
      </w:r>
      <w:r w:rsidRPr="00C947F0">
        <w:rPr>
          <w:rStyle w:val="FootnoteReference"/>
          <w:rFonts w:ascii="Archivo" w:hAnsi="Archivo"/>
          <w:sz w:val="20"/>
          <w:szCs w:val="20"/>
        </w:rPr>
        <w:footnoteReference w:id="34"/>
      </w:r>
      <w:r w:rsidRPr="00C947F0">
        <w:rPr>
          <w:rFonts w:ascii="Archivo" w:hAnsi="Archivo"/>
          <w:sz w:val="20"/>
          <w:szCs w:val="20"/>
        </w:rPr>
        <w:t xml:space="preserve">. Ranked by region, the greatest degree of abundance data is available from studies in Oceania (n=7,260), Europe (n=2,050), North America (N=2,769) and Latin America and Caribbean (n=1,051).  Of these </w:t>
      </w:r>
      <w:r w:rsidRPr="00C947F0">
        <w:rPr>
          <w:rFonts w:ascii="Archivo" w:hAnsi="Archivo"/>
          <w:sz w:val="20"/>
          <w:szCs w:val="20"/>
          <w:highlight w:val="yellow"/>
        </w:rPr>
        <w:t>[x]</w:t>
      </w:r>
      <w:r w:rsidRPr="00C947F0">
        <w:rPr>
          <w:rFonts w:ascii="Archivo" w:hAnsi="Archivo"/>
          <w:sz w:val="20"/>
          <w:szCs w:val="20"/>
        </w:rPr>
        <w:t xml:space="preserve"> are CITES-listed. This data can be downloaded at </w:t>
      </w:r>
      <w:hyperlink r:id="rId8" w:history="1">
        <w:r w:rsidRPr="00C947F0">
          <w:rPr>
            <w:rStyle w:val="Hyperlink"/>
            <w:rFonts w:ascii="Archivo" w:hAnsi="Archivo"/>
            <w:sz w:val="20"/>
            <w:szCs w:val="20"/>
          </w:rPr>
          <w:t>https://www.livingplanetindex.org/data_portal</w:t>
        </w:r>
      </w:hyperlink>
      <w:r w:rsidRPr="00C947F0">
        <w:rPr>
          <w:rFonts w:ascii="Archivo" w:hAnsi="Archivo"/>
          <w:sz w:val="20"/>
          <w:szCs w:val="20"/>
        </w:rPr>
        <w:t>. The data recorded includes a time series of population abundance (1950-2020, with entries by year for which data is available), country, location (in country), unit (</w:t>
      </w:r>
      <w:proofErr w:type="gramStart"/>
      <w:r w:rsidRPr="00C947F0">
        <w:rPr>
          <w:rFonts w:ascii="Archivo" w:hAnsi="Archivo"/>
          <w:sz w:val="20"/>
          <w:szCs w:val="20"/>
        </w:rPr>
        <w:t>i.e.</w:t>
      </w:r>
      <w:proofErr w:type="gramEnd"/>
      <w:r w:rsidRPr="00C947F0">
        <w:rPr>
          <w:rFonts w:ascii="Archivo" w:hAnsi="Archivo"/>
          <w:sz w:val="20"/>
          <w:szCs w:val="20"/>
        </w:rPr>
        <w:t xml:space="preserve"> individuals), method, whether the species is migratory, and citation for the original study.</w:t>
      </w:r>
    </w:p>
    <w:p w14:paraId="6988D0D3" w14:textId="0C038CC3" w:rsidR="00F31CF4" w:rsidRPr="00FE1DBF" w:rsidRDefault="00F31CF4" w:rsidP="00B46B77">
      <w:pPr>
        <w:pStyle w:val="Heading5"/>
        <w:numPr>
          <w:ilvl w:val="0"/>
          <w:numId w:val="21"/>
        </w:numPr>
        <w:spacing w:before="0" w:after="240"/>
        <w:jc w:val="both"/>
        <w:rPr>
          <w:rFonts w:ascii="Archivo" w:hAnsi="Archivo"/>
          <w:sz w:val="20"/>
          <w:szCs w:val="20"/>
        </w:rPr>
      </w:pPr>
      <w:r w:rsidRPr="00FE1DBF">
        <w:rPr>
          <w:rFonts w:ascii="Archivo" w:hAnsi="Archivo"/>
          <w:sz w:val="20"/>
          <w:szCs w:val="20"/>
        </w:rPr>
        <w:t xml:space="preserve">Using Global abundance estimates as a </w:t>
      </w:r>
      <w:proofErr w:type="gramStart"/>
      <w:r w:rsidRPr="00FE1DBF">
        <w:rPr>
          <w:rFonts w:ascii="Archivo" w:hAnsi="Archivo"/>
          <w:sz w:val="20"/>
          <w:szCs w:val="20"/>
        </w:rPr>
        <w:t>proxy</w:t>
      </w:r>
      <w:proofErr w:type="gramEnd"/>
      <w:r w:rsidR="00FE1DBF" w:rsidRPr="00FE1DBF">
        <w:rPr>
          <w:rFonts w:ascii="Archivo" w:hAnsi="Archivo"/>
        </w:rPr>
        <w:t xml:space="preserve"> </w:t>
      </w:r>
    </w:p>
    <w:p w14:paraId="40C0214B"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 xml:space="preserve">In the absence of data at the individual population or national level for abundance, </w:t>
      </w:r>
      <w:r w:rsidRPr="00C947F0">
        <w:rPr>
          <w:rFonts w:ascii="Archivo" w:hAnsi="Archivo" w:cstheme="minorHAnsi"/>
          <w:sz w:val="20"/>
          <w:szCs w:val="20"/>
        </w:rPr>
        <w:t xml:space="preserve">assessments of trends in global populations have been made for many species in order to evaluate species for IUCN Red List </w:t>
      </w:r>
      <w:r w:rsidRPr="00C947F0">
        <w:rPr>
          <w:rFonts w:ascii="Archivo" w:hAnsi="Archivo" w:cstheme="minorHAnsi"/>
          <w:sz w:val="20"/>
          <w:szCs w:val="20"/>
        </w:rPr>
        <w:lastRenderedPageBreak/>
        <w:t xml:space="preserve">categories and threat and these assessments may help inform the preparations of NDFs. Though caution should be taken to ensure the data within the assessment is robust or caveated appropriately. </w:t>
      </w:r>
    </w:p>
    <w:p w14:paraId="11D2AE90" w14:textId="27BACB73" w:rsidR="00F31CF4" w:rsidRPr="00C947F0" w:rsidRDefault="00F31CF4" w:rsidP="00B46B77">
      <w:pPr>
        <w:spacing w:after="240"/>
        <w:jc w:val="both"/>
        <w:rPr>
          <w:rFonts w:ascii="Archivo" w:hAnsi="Archivo"/>
          <w:sz w:val="20"/>
          <w:szCs w:val="20"/>
        </w:rPr>
      </w:pPr>
      <w:r w:rsidRPr="00C947F0">
        <w:rPr>
          <w:rFonts w:ascii="Archivo" w:hAnsi="Archivo"/>
          <w:b/>
          <w:bCs/>
          <w:sz w:val="20"/>
          <w:szCs w:val="20"/>
        </w:rPr>
        <w:t xml:space="preserve">In the NDF report, record the species population abundance at the sub-population and/ or national level (where available) </w:t>
      </w:r>
      <w:r w:rsidRPr="00C947F0">
        <w:rPr>
          <w:rFonts w:ascii="Archivo" w:hAnsi="Archivo"/>
          <w:b/>
          <w:bCs/>
          <w:i/>
          <w:iCs/>
          <w:sz w:val="20"/>
          <w:szCs w:val="20"/>
        </w:rPr>
        <w:t xml:space="preserve">or </w:t>
      </w:r>
      <w:r w:rsidRPr="00C947F0">
        <w:rPr>
          <w:rFonts w:ascii="Archivo" w:hAnsi="Archivo"/>
          <w:b/>
          <w:bCs/>
          <w:sz w:val="20"/>
          <w:szCs w:val="20"/>
        </w:rPr>
        <w:t>in the absence of this global abundance data.  Where this data points to a species abundance being below carrying capacity</w:t>
      </w:r>
      <w:r w:rsidRPr="00C947F0">
        <w:rPr>
          <w:rStyle w:val="FootnoteReference"/>
          <w:rFonts w:ascii="Archivo" w:hAnsi="Archivo"/>
          <w:b/>
          <w:bCs/>
          <w:sz w:val="20"/>
          <w:szCs w:val="20"/>
        </w:rPr>
        <w:footnoteReference w:id="35"/>
      </w:r>
      <w:r w:rsidRPr="00C947F0">
        <w:rPr>
          <w:rFonts w:ascii="Archivo" w:hAnsi="Archivo"/>
          <w:b/>
          <w:bCs/>
          <w:sz w:val="20"/>
          <w:szCs w:val="20"/>
        </w:rPr>
        <w:t xml:space="preserve"> increasing the populations vulnerability to stochastic changes, then a precautionary approach should be taken when considering harvest levels.  With further consideration needed on the likely impact of harvest and the requirement for management interventions (</w:t>
      </w:r>
      <w:r w:rsidRPr="00C947F0">
        <w:rPr>
          <w:rFonts w:ascii="Archivo" w:hAnsi="Archivo"/>
          <w:b/>
          <w:bCs/>
          <w:sz w:val="20"/>
          <w:szCs w:val="20"/>
          <w:highlight w:val="yellow"/>
        </w:rPr>
        <w:t xml:space="preserve">see </w:t>
      </w:r>
      <w:r w:rsidR="006D5D8E" w:rsidRPr="006D5D8E">
        <w:rPr>
          <w:rFonts w:ascii="Archivo" w:hAnsi="Archivo"/>
          <w:b/>
          <w:bCs/>
          <w:sz w:val="20"/>
          <w:szCs w:val="20"/>
          <w:highlight w:val="yellow"/>
        </w:rPr>
        <w:t>Section 3.1</w:t>
      </w:r>
      <w:r w:rsidRPr="00C947F0">
        <w:rPr>
          <w:rFonts w:ascii="Archivo" w:hAnsi="Archivo"/>
          <w:b/>
          <w:bCs/>
          <w:sz w:val="20"/>
          <w:szCs w:val="20"/>
        </w:rPr>
        <w:t>).</w:t>
      </w:r>
    </w:p>
    <w:p w14:paraId="0D1D68C4" w14:textId="139A9C02" w:rsidR="00FE1DBF" w:rsidRDefault="00FE1DBF" w:rsidP="00B46B77">
      <w:pPr>
        <w:pStyle w:val="Heading5"/>
        <w:numPr>
          <w:ilvl w:val="0"/>
          <w:numId w:val="21"/>
        </w:numPr>
        <w:spacing w:before="0" w:after="240"/>
        <w:jc w:val="both"/>
        <w:rPr>
          <w:rFonts w:ascii="Archivo" w:hAnsi="Archivo"/>
          <w:sz w:val="20"/>
          <w:szCs w:val="20"/>
        </w:rPr>
      </w:pPr>
      <w:r w:rsidRPr="00C947F0">
        <w:rPr>
          <w:rFonts w:ascii="Archivo" w:hAnsi="Archivo"/>
          <w:sz w:val="20"/>
          <w:szCs w:val="20"/>
        </w:rPr>
        <w:t>Number of locations or subpopulations</w:t>
      </w:r>
    </w:p>
    <w:p w14:paraId="3A13966D" w14:textId="42EA10D2" w:rsidR="00F31CF4" w:rsidRPr="00C947F0" w:rsidRDefault="00F31CF4" w:rsidP="00B46B77">
      <w:pPr>
        <w:spacing w:after="240"/>
        <w:jc w:val="both"/>
        <w:rPr>
          <w:rFonts w:ascii="Archivo" w:hAnsi="Archivo"/>
          <w:sz w:val="20"/>
          <w:szCs w:val="20"/>
        </w:rPr>
      </w:pPr>
      <w:r w:rsidRPr="00C947F0">
        <w:rPr>
          <w:rFonts w:ascii="Archivo" w:hAnsi="Archivo"/>
          <w:sz w:val="20"/>
          <w:szCs w:val="20"/>
        </w:rPr>
        <w:t>As a general rule, species which are dispersed across several locations are less vulnerable to extinction, while those species with a low number of locations (typically five or fewer) are more prone to effects of human activities or stochastic events</w:t>
      </w:r>
      <w:r w:rsidRPr="00C947F0">
        <w:rPr>
          <w:rStyle w:val="FootnoteReference"/>
          <w:rFonts w:ascii="Archivo" w:hAnsi="Archivo"/>
          <w:sz w:val="20"/>
          <w:szCs w:val="20"/>
        </w:rPr>
        <w:footnoteReference w:id="36"/>
      </w:r>
      <w:r w:rsidRPr="00C947F0">
        <w:rPr>
          <w:rFonts w:ascii="Archivo" w:hAnsi="Archivo"/>
          <w:sz w:val="20"/>
          <w:szCs w:val="20"/>
        </w:rPr>
        <w:t xml:space="preserve">. Similarly, severely fragmented species with geographically isolated subpopulations are more vulnerable due to a lack of immigrants and genetic exchange as well as greater vulnerability of small, isolated populations to overexploitation and to habitat degradation and loss.   </w:t>
      </w:r>
    </w:p>
    <w:p w14:paraId="42A5554D" w14:textId="1DA637C6" w:rsidR="00F31CF4" w:rsidRPr="00C947F0" w:rsidRDefault="00F31CF4" w:rsidP="00880D9E">
      <w:pPr>
        <w:spacing w:after="240"/>
        <w:jc w:val="both"/>
        <w:rPr>
          <w:rFonts w:ascii="Archivo" w:hAnsi="Archivo"/>
          <w:sz w:val="20"/>
          <w:szCs w:val="20"/>
        </w:rPr>
      </w:pPr>
      <w:r w:rsidRPr="00C947F0">
        <w:rPr>
          <w:rFonts w:ascii="Archivo" w:hAnsi="Archivo"/>
          <w:sz w:val="20"/>
          <w:szCs w:val="20"/>
        </w:rPr>
        <w:t xml:space="preserve">The </w:t>
      </w:r>
      <w:hyperlink r:id="rId9" w:anchor="s" w:history="1">
        <w:r w:rsidR="00880D9E" w:rsidRPr="00880D9E">
          <w:rPr>
            <w:rStyle w:val="Hyperlink"/>
            <w:rFonts w:ascii="Archivo" w:hAnsi="Archivo"/>
            <w:sz w:val="20"/>
            <w:szCs w:val="20"/>
          </w:rPr>
          <w:t>CITES Glossary</w:t>
        </w:r>
      </w:hyperlink>
      <w:r w:rsidR="00880D9E">
        <w:rPr>
          <w:rFonts w:ascii="Archivo" w:hAnsi="Archivo"/>
          <w:sz w:val="20"/>
          <w:szCs w:val="20"/>
        </w:rPr>
        <w:t xml:space="preserve"> </w:t>
      </w:r>
      <w:r w:rsidRPr="00C947F0">
        <w:rPr>
          <w:rFonts w:ascii="Archivo" w:hAnsi="Archivo"/>
          <w:sz w:val="20"/>
          <w:szCs w:val="20"/>
        </w:rPr>
        <w:t>defines subpopulations as:</w:t>
      </w:r>
      <w:r w:rsidR="00880D9E">
        <w:rPr>
          <w:rFonts w:ascii="Archivo" w:hAnsi="Archivo"/>
          <w:sz w:val="20"/>
          <w:szCs w:val="20"/>
        </w:rPr>
        <w:t xml:space="preserve"> </w:t>
      </w:r>
      <w:r w:rsidRPr="00C947F0">
        <w:rPr>
          <w:rFonts w:ascii="Archivo" w:hAnsi="Archivo"/>
          <w:sz w:val="20"/>
          <w:szCs w:val="20"/>
        </w:rPr>
        <w:t>‘</w:t>
      </w:r>
      <w:r w:rsidR="00880D9E" w:rsidRPr="00880D9E">
        <w:rPr>
          <w:rFonts w:ascii="Archivo" w:hAnsi="Archivo"/>
          <w:i/>
          <w:iCs/>
          <w:sz w:val="20"/>
          <w:szCs w:val="20"/>
        </w:rPr>
        <w:t>A geographically or otherwise distinct group which has little exchange with other groups in the population</w:t>
      </w:r>
      <w:r w:rsidR="00880D9E" w:rsidRPr="00880D9E">
        <w:rPr>
          <w:rFonts w:ascii="Archivo" w:hAnsi="Archivo"/>
          <w:sz w:val="20"/>
          <w:szCs w:val="20"/>
        </w:rPr>
        <w:t>.</w:t>
      </w:r>
      <w:r w:rsidRPr="00C947F0">
        <w:rPr>
          <w:rFonts w:ascii="Archivo" w:hAnsi="Archivo"/>
          <w:i/>
          <w:iCs/>
          <w:sz w:val="20"/>
          <w:szCs w:val="20"/>
        </w:rPr>
        <w:t>’</w:t>
      </w:r>
    </w:p>
    <w:p w14:paraId="5BC63573"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 xml:space="preserve">For birds there are many species with subpopulations and recognised subspecies. In the absence of information on monitored locations, the Area of Occupancy </w:t>
      </w:r>
      <w:r w:rsidRPr="00C947F0">
        <w:rPr>
          <w:rFonts w:ascii="Archivo" w:hAnsi="Archivo"/>
          <w:i/>
          <w:iCs/>
          <w:sz w:val="20"/>
          <w:szCs w:val="20"/>
        </w:rPr>
        <w:t xml:space="preserve">or </w:t>
      </w:r>
      <w:r w:rsidRPr="00C947F0">
        <w:rPr>
          <w:rFonts w:ascii="Archivo" w:hAnsi="Archivo"/>
          <w:sz w:val="20"/>
          <w:szCs w:val="20"/>
        </w:rPr>
        <w:t xml:space="preserve">Area of Habitat maps could support understanding the pattern of distribution and the potential number of locations or subpopulations.      </w:t>
      </w:r>
    </w:p>
    <w:p w14:paraId="5DFD6BBF"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 xml:space="preserve">Although subspecies are not generally listed on the Appendices understanding whether the harvest targets a subpopulation/ subspecies can be an important part of assessing risk of trade impact.  All recognised subspecies are listed in the Handbook of the Birds of the World and </w:t>
      </w:r>
      <w:proofErr w:type="spellStart"/>
      <w:r w:rsidRPr="00C947F0">
        <w:rPr>
          <w:rFonts w:ascii="Archivo" w:hAnsi="Archivo"/>
          <w:sz w:val="20"/>
          <w:szCs w:val="20"/>
        </w:rPr>
        <w:t>BirdLife</w:t>
      </w:r>
      <w:proofErr w:type="spellEnd"/>
      <w:r w:rsidRPr="00C947F0">
        <w:rPr>
          <w:rFonts w:ascii="Archivo" w:hAnsi="Archivo"/>
          <w:sz w:val="20"/>
          <w:szCs w:val="20"/>
        </w:rPr>
        <w:t xml:space="preserve"> Checklist</w:t>
      </w:r>
      <w:r w:rsidRPr="00C947F0">
        <w:rPr>
          <w:rStyle w:val="FootnoteReference"/>
          <w:rFonts w:ascii="Archivo" w:hAnsi="Archivo"/>
          <w:sz w:val="20"/>
          <w:szCs w:val="20"/>
        </w:rPr>
        <w:footnoteReference w:id="37"/>
      </w:r>
      <w:r w:rsidRPr="00C947F0">
        <w:rPr>
          <w:rFonts w:ascii="Archivo" w:hAnsi="Archivo"/>
          <w:sz w:val="20"/>
          <w:szCs w:val="20"/>
        </w:rPr>
        <w:t xml:space="preserve">.              </w:t>
      </w:r>
    </w:p>
    <w:p w14:paraId="5E1B5899" w14:textId="77777777" w:rsidR="00F31CF4" w:rsidRPr="00C947F0" w:rsidRDefault="00F31CF4" w:rsidP="00B46B77">
      <w:pPr>
        <w:spacing w:after="240"/>
        <w:jc w:val="both"/>
        <w:rPr>
          <w:rFonts w:ascii="Archivo" w:hAnsi="Archivo"/>
          <w:b/>
          <w:bCs/>
          <w:sz w:val="20"/>
          <w:szCs w:val="20"/>
        </w:rPr>
      </w:pPr>
      <w:r w:rsidRPr="00C947F0">
        <w:rPr>
          <w:rFonts w:ascii="Archivo" w:hAnsi="Archivo"/>
          <w:b/>
          <w:bCs/>
          <w:sz w:val="20"/>
          <w:szCs w:val="20"/>
        </w:rPr>
        <w:t>In the NDF report, record the number of locations (and whether this is 5 or fewer) and/ or existing subpopulations and whether any of these are considered to represent subspecies, and the location of the harvest impact.   Where any of these is the case further consideration is needed on the likely impact of harvest and the requirement for management interventions.</w:t>
      </w:r>
    </w:p>
    <w:p w14:paraId="5A22DA18" w14:textId="4F37604D" w:rsidR="00F31CF4" w:rsidRDefault="00F31CF4" w:rsidP="00B46B77">
      <w:pPr>
        <w:pStyle w:val="Heading5"/>
        <w:numPr>
          <w:ilvl w:val="0"/>
          <w:numId w:val="21"/>
        </w:numPr>
        <w:spacing w:before="0" w:after="240"/>
        <w:jc w:val="both"/>
        <w:rPr>
          <w:rFonts w:ascii="Archivo" w:hAnsi="Archivo"/>
          <w:sz w:val="20"/>
          <w:szCs w:val="20"/>
        </w:rPr>
      </w:pPr>
      <w:r w:rsidRPr="00C947F0">
        <w:rPr>
          <w:rFonts w:ascii="Archivo" w:hAnsi="Archivo"/>
          <w:sz w:val="20"/>
          <w:szCs w:val="20"/>
        </w:rPr>
        <w:t>Number of mature individuals</w:t>
      </w:r>
    </w:p>
    <w:p w14:paraId="0615B5DF"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Population estimates for birds (based on mature individuals) span six orders of magnitude (from below 10 to over 47 million individuals), with 73% of threatened birds (1,088 species) estimated to have fewer than 10,000 individuals</w:t>
      </w:r>
      <w:r w:rsidRPr="00C947F0">
        <w:rPr>
          <w:rStyle w:val="FootnoteReference"/>
          <w:rFonts w:ascii="Archivo" w:hAnsi="Archivo"/>
          <w:sz w:val="20"/>
          <w:szCs w:val="20"/>
        </w:rPr>
        <w:footnoteReference w:id="38"/>
      </w:r>
      <w:r w:rsidRPr="00C947F0">
        <w:rPr>
          <w:rFonts w:ascii="Archivo" w:hAnsi="Archivo"/>
          <w:sz w:val="20"/>
          <w:szCs w:val="20"/>
        </w:rPr>
        <w:t xml:space="preserve">.  </w:t>
      </w:r>
    </w:p>
    <w:p w14:paraId="09EED5C0"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Red List assessments at the national, regional and global level can be a useful resource containing estimates of mature individuals.  National Red List processes can be accessed on the National Red List website</w:t>
      </w:r>
      <w:r w:rsidRPr="00C947F0">
        <w:rPr>
          <w:rStyle w:val="FootnoteReference"/>
          <w:rFonts w:ascii="Archivo" w:hAnsi="Archivo"/>
          <w:sz w:val="20"/>
          <w:szCs w:val="20"/>
        </w:rPr>
        <w:footnoteReference w:id="39"/>
      </w:r>
      <w:r w:rsidRPr="00C947F0">
        <w:rPr>
          <w:rFonts w:ascii="Archivo" w:hAnsi="Archivo"/>
          <w:sz w:val="20"/>
          <w:szCs w:val="20"/>
        </w:rPr>
        <w:t>, though these have only been carried out in a few countries globally.  Where estimates for national populations are unavailable the IUCN Red list for Birds</w:t>
      </w:r>
      <w:r w:rsidRPr="00C947F0">
        <w:rPr>
          <w:rStyle w:val="FootnoteReference"/>
          <w:rFonts w:ascii="Archivo" w:hAnsi="Archivo"/>
          <w:sz w:val="20"/>
          <w:szCs w:val="20"/>
        </w:rPr>
        <w:footnoteReference w:id="40"/>
      </w:r>
      <w:r w:rsidRPr="00C947F0">
        <w:rPr>
          <w:rFonts w:ascii="Archivo" w:hAnsi="Archivo"/>
          <w:sz w:val="20"/>
          <w:szCs w:val="20"/>
        </w:rPr>
        <w:t xml:space="preserve"> provides global estimates of species populations size measured as the number of mature individuals</w:t>
      </w:r>
      <w:r w:rsidRPr="00C947F0">
        <w:rPr>
          <w:rStyle w:val="FootnoteReference"/>
          <w:rFonts w:ascii="Archivo" w:hAnsi="Archivo"/>
          <w:sz w:val="20"/>
          <w:szCs w:val="20"/>
        </w:rPr>
        <w:footnoteReference w:id="41"/>
      </w:r>
      <w:r w:rsidRPr="00C947F0">
        <w:rPr>
          <w:rFonts w:ascii="Archivo" w:hAnsi="Archivo"/>
          <w:sz w:val="20"/>
          <w:szCs w:val="20"/>
        </w:rPr>
        <w:t xml:space="preserve">.  </w:t>
      </w:r>
    </w:p>
    <w:p w14:paraId="2A8AE0E5" w14:textId="77777777" w:rsidR="00F31CF4" w:rsidRPr="00C947F0" w:rsidRDefault="00F31CF4" w:rsidP="00B46B77">
      <w:pPr>
        <w:spacing w:after="240"/>
        <w:jc w:val="both"/>
        <w:rPr>
          <w:rFonts w:ascii="Archivo" w:hAnsi="Archivo"/>
          <w:sz w:val="20"/>
          <w:szCs w:val="20"/>
        </w:rPr>
      </w:pPr>
      <w:r w:rsidRPr="00C947F0">
        <w:rPr>
          <w:rFonts w:ascii="Archivo" w:hAnsi="Archivo"/>
          <w:sz w:val="20"/>
          <w:szCs w:val="20"/>
        </w:rPr>
        <w:t xml:space="preserve">Applying IUCN Red List criterion C can support assessment of trade impact and potential detriment based on the number of mature individuals.  IUCN criterion C states that population sizes &lt;10,000 </w:t>
      </w:r>
      <w:r w:rsidRPr="00C947F0">
        <w:rPr>
          <w:rFonts w:ascii="Archivo" w:hAnsi="Archivo"/>
          <w:sz w:val="20"/>
          <w:szCs w:val="20"/>
        </w:rPr>
        <w:lastRenderedPageBreak/>
        <w:t xml:space="preserve">mature individuals globally or nationally, would indicate the species could be threatened and would trigger further considerations. </w:t>
      </w:r>
    </w:p>
    <w:p w14:paraId="2CE2893C" w14:textId="77777777" w:rsidR="00F31CF4" w:rsidRPr="00C947F0" w:rsidRDefault="00F31CF4" w:rsidP="00B46B77">
      <w:pPr>
        <w:spacing w:after="240"/>
        <w:jc w:val="both"/>
        <w:rPr>
          <w:rFonts w:ascii="Archivo" w:hAnsi="Archivo"/>
          <w:b/>
          <w:bCs/>
          <w:sz w:val="20"/>
          <w:szCs w:val="20"/>
        </w:rPr>
      </w:pPr>
      <w:r w:rsidRPr="00C947F0">
        <w:rPr>
          <w:rFonts w:ascii="Archivo" w:hAnsi="Archivo"/>
          <w:b/>
          <w:bCs/>
          <w:sz w:val="20"/>
          <w:szCs w:val="20"/>
        </w:rPr>
        <w:t xml:space="preserve">In the NDF report, record the number of mature individuals (at global and national levels where available) and note whether the estimate is &lt;10,000 mature individuals.  Below this figure further consideration is needed on the likely impact of harvest and the requirement for management interventions. </w:t>
      </w:r>
    </w:p>
    <w:p w14:paraId="5305E1E5" w14:textId="28EC5B40" w:rsidR="00977D96" w:rsidRPr="006F37F6" w:rsidRDefault="00FE1DBF" w:rsidP="006F37F6">
      <w:pPr>
        <w:pStyle w:val="Heading3"/>
        <w:numPr>
          <w:ilvl w:val="1"/>
          <w:numId w:val="23"/>
        </w:numPr>
        <w:spacing w:before="0" w:after="240"/>
        <w:jc w:val="both"/>
        <w:rPr>
          <w:rFonts w:ascii="Archivo" w:hAnsi="Archivo"/>
          <w:b/>
          <w:bCs/>
          <w:color w:val="2F5497"/>
        </w:rPr>
      </w:pPr>
      <w:bookmarkStart w:id="7" w:name="_Toc140780392"/>
      <w:r>
        <w:rPr>
          <w:rFonts w:ascii="Archivo" w:hAnsi="Archivo"/>
          <w:b/>
          <w:bCs/>
          <w:color w:val="2F5497"/>
        </w:rPr>
        <w:t xml:space="preserve">Applying management interventions where detriment is </w:t>
      </w:r>
      <w:proofErr w:type="gramStart"/>
      <w:r>
        <w:rPr>
          <w:rFonts w:ascii="Archivo" w:hAnsi="Archivo"/>
          <w:b/>
          <w:bCs/>
          <w:color w:val="2F5497"/>
        </w:rPr>
        <w:t>considered</w:t>
      </w:r>
      <w:proofErr w:type="gramEnd"/>
      <w:r>
        <w:rPr>
          <w:rFonts w:ascii="Archivo" w:hAnsi="Archivo"/>
          <w:b/>
          <w:bCs/>
          <w:color w:val="2F5497"/>
        </w:rPr>
        <w:t xml:space="preserve"> </w:t>
      </w:r>
      <w:bookmarkEnd w:id="7"/>
    </w:p>
    <w:p w14:paraId="4434119C" w14:textId="001D39AA" w:rsidR="00F31CF4" w:rsidRPr="00C947F0" w:rsidRDefault="00F31CF4" w:rsidP="006F37F6">
      <w:pPr>
        <w:spacing w:after="240"/>
        <w:jc w:val="both"/>
        <w:rPr>
          <w:rFonts w:ascii="Archivo" w:hAnsi="Archivo"/>
          <w:sz w:val="20"/>
          <w:szCs w:val="20"/>
        </w:rPr>
      </w:pPr>
      <w:r w:rsidRPr="00C947F0">
        <w:rPr>
          <w:rFonts w:ascii="Archivo" w:hAnsi="Archivo"/>
          <w:sz w:val="20"/>
          <w:szCs w:val="20"/>
        </w:rPr>
        <w:t>If detriment is suspected management interventions should be put into action. If a need has been identified for the implementation or revision of management procedures, but these are yet to enacted, Parties should describe planned monitoring actions and management interventions, and how related results will be interpreted in the context of non-detriment in the Non-Detriment Finding Report (Step 4.). This approach can be taken to make positive NDFs, and allow some trade, even where information or data are limited or of poor quality; the conditions imposed may provide safeguards against the risk of over-exploitation</w:t>
      </w:r>
      <w:r w:rsidRPr="00977D96">
        <w:rPr>
          <w:rFonts w:ascii="Archivo" w:hAnsi="Archivo"/>
          <w:color w:val="7030A0"/>
          <w:sz w:val="20"/>
          <w:szCs w:val="20"/>
        </w:rPr>
        <w:t>.</w:t>
      </w:r>
      <w:r w:rsidRPr="00876211">
        <w:rPr>
          <w:rFonts w:ascii="Archivo" w:hAnsi="Archivo"/>
          <w:color w:val="000000" w:themeColor="text1"/>
          <w:sz w:val="20"/>
          <w:szCs w:val="20"/>
        </w:rPr>
        <w:t xml:space="preserve"> </w:t>
      </w:r>
      <w:r w:rsidR="00876211" w:rsidRPr="00876211">
        <w:rPr>
          <w:rFonts w:ascii="Archivo" w:hAnsi="Archivo"/>
          <w:color w:val="000000" w:themeColor="text1"/>
          <w:sz w:val="20"/>
          <w:szCs w:val="20"/>
        </w:rPr>
        <w:t>S</w:t>
      </w:r>
      <w:r w:rsidRPr="00876211">
        <w:rPr>
          <w:rFonts w:ascii="Archivo" w:hAnsi="Archivo"/>
          <w:color w:val="000000" w:themeColor="text1"/>
          <w:sz w:val="20"/>
          <w:szCs w:val="20"/>
        </w:rPr>
        <w:t xml:space="preserve">ee </w:t>
      </w:r>
      <w:r w:rsidRPr="00977D96">
        <w:rPr>
          <w:rFonts w:ascii="Archivo" w:hAnsi="Archivo"/>
          <w:sz w:val="20"/>
          <w:szCs w:val="20"/>
        </w:rPr>
        <w:t xml:space="preserve">the </w:t>
      </w:r>
      <w:r w:rsidR="00977D96" w:rsidRPr="00977D96">
        <w:rPr>
          <w:rFonts w:ascii="Archivo" w:hAnsi="Archivo"/>
          <w:sz w:val="20"/>
          <w:szCs w:val="20"/>
          <w:highlight w:val="yellow"/>
        </w:rPr>
        <w:t>Section 9 of Module 1</w:t>
      </w:r>
      <w:r w:rsidRPr="00977D96">
        <w:rPr>
          <w:rFonts w:ascii="Archivo" w:hAnsi="Archivo"/>
          <w:sz w:val="20"/>
          <w:szCs w:val="20"/>
        </w:rPr>
        <w:t xml:space="preserve"> for advice on adaptive management and </w:t>
      </w:r>
      <w:r w:rsidR="00CC2581" w:rsidRPr="00977D96">
        <w:rPr>
          <w:rFonts w:ascii="Archivo" w:hAnsi="Archivo"/>
          <w:sz w:val="20"/>
          <w:szCs w:val="20"/>
        </w:rPr>
        <w:t>conditional NDFs</w:t>
      </w:r>
      <w:r w:rsidRPr="00977D96">
        <w:rPr>
          <w:rFonts w:ascii="Archivo" w:hAnsi="Archivo"/>
          <w:sz w:val="20"/>
          <w:szCs w:val="20"/>
        </w:rPr>
        <w:t xml:space="preserve">, including on pros and cons relating to different types of </w:t>
      </w:r>
      <w:r w:rsidR="00CC2581" w:rsidRPr="00977D96">
        <w:rPr>
          <w:rFonts w:ascii="Archivo" w:hAnsi="Archivo"/>
          <w:sz w:val="20"/>
          <w:szCs w:val="20"/>
        </w:rPr>
        <w:t xml:space="preserve">conditional </w:t>
      </w:r>
      <w:r w:rsidRPr="00977D96">
        <w:rPr>
          <w:rFonts w:ascii="Archivo" w:hAnsi="Archivo"/>
          <w:sz w:val="20"/>
          <w:szCs w:val="20"/>
        </w:rPr>
        <w:t>NDF</w:t>
      </w:r>
      <w:r w:rsidR="00CC2581" w:rsidRPr="00977D96">
        <w:rPr>
          <w:rFonts w:ascii="Archivo" w:hAnsi="Archivo"/>
          <w:sz w:val="20"/>
          <w:szCs w:val="20"/>
        </w:rPr>
        <w:t>s</w:t>
      </w:r>
      <w:r w:rsidRPr="00977D96">
        <w:rPr>
          <w:rFonts w:ascii="Archivo" w:hAnsi="Archivo"/>
          <w:sz w:val="20"/>
          <w:szCs w:val="20"/>
        </w:rPr>
        <w:t>.</w:t>
      </w:r>
      <w:r w:rsidRPr="00C947F0">
        <w:rPr>
          <w:rFonts w:ascii="Archivo" w:hAnsi="Archivo"/>
          <w:sz w:val="20"/>
          <w:szCs w:val="20"/>
        </w:rPr>
        <w:t xml:space="preserve">   </w:t>
      </w:r>
    </w:p>
    <w:p w14:paraId="0692C466" w14:textId="530AEE80" w:rsidR="00F31CF4" w:rsidRPr="00C947F0" w:rsidRDefault="00F31CF4" w:rsidP="006F37F6">
      <w:pPr>
        <w:spacing w:after="240"/>
        <w:jc w:val="both"/>
        <w:rPr>
          <w:rFonts w:ascii="Archivo" w:hAnsi="Archivo"/>
          <w:sz w:val="20"/>
          <w:szCs w:val="20"/>
        </w:rPr>
      </w:pPr>
      <w:r w:rsidRPr="00C947F0">
        <w:rPr>
          <w:rFonts w:ascii="Archivo" w:hAnsi="Archivo"/>
          <w:sz w:val="20"/>
          <w:szCs w:val="20"/>
        </w:rPr>
        <w:t>For a comprehensive assessment of the types and effects of different interventions on bird conservation see ‘</w:t>
      </w:r>
      <w:bookmarkStart w:id="8" w:name="_Hlk147919183"/>
      <w:r w:rsidRPr="00C947F0">
        <w:rPr>
          <w:rFonts w:ascii="Archivo" w:hAnsi="Archivo"/>
          <w:sz w:val="20"/>
          <w:szCs w:val="20"/>
        </w:rPr>
        <w:t>Bird Conservation</w:t>
      </w:r>
      <w:r w:rsidR="00395D0E">
        <w:rPr>
          <w:rFonts w:ascii="Archivo" w:hAnsi="Archivo"/>
          <w:sz w:val="20"/>
          <w:szCs w:val="20"/>
        </w:rPr>
        <w:t xml:space="preserve"> </w:t>
      </w:r>
      <w:r w:rsidRPr="00C947F0">
        <w:rPr>
          <w:rFonts w:ascii="Archivo" w:hAnsi="Archivo"/>
          <w:sz w:val="20"/>
          <w:szCs w:val="20"/>
        </w:rPr>
        <w:t xml:space="preserve">- evidence for the effects of </w:t>
      </w:r>
      <w:proofErr w:type="gramStart"/>
      <w:r w:rsidRPr="00C947F0">
        <w:rPr>
          <w:rFonts w:ascii="Archivo" w:hAnsi="Archivo"/>
          <w:sz w:val="20"/>
          <w:szCs w:val="20"/>
        </w:rPr>
        <w:t>interventions’</w:t>
      </w:r>
      <w:proofErr w:type="gramEnd"/>
      <w:r w:rsidRPr="00C947F0">
        <w:rPr>
          <w:rFonts w:ascii="Archivo" w:hAnsi="Archivo"/>
          <w:sz w:val="20"/>
          <w:szCs w:val="20"/>
        </w:rPr>
        <w:t>.</w:t>
      </w:r>
      <w:r w:rsidRPr="00C947F0">
        <w:rPr>
          <w:rStyle w:val="FootnoteReference"/>
          <w:rFonts w:ascii="Archivo" w:hAnsi="Archivo"/>
          <w:sz w:val="20"/>
          <w:szCs w:val="20"/>
        </w:rPr>
        <w:footnoteReference w:id="42"/>
      </w:r>
      <w:r w:rsidRPr="00C947F0">
        <w:rPr>
          <w:rFonts w:ascii="Archivo" w:hAnsi="Archivo"/>
          <w:sz w:val="20"/>
          <w:szCs w:val="20"/>
        </w:rPr>
        <w:t xml:space="preserve"> Section 8, ‘On Biological Resource Use’</w:t>
      </w:r>
      <w:bookmarkEnd w:id="8"/>
      <w:r w:rsidR="000F52BD">
        <w:rPr>
          <w:rFonts w:ascii="Archivo" w:hAnsi="Archivo"/>
          <w:sz w:val="20"/>
          <w:szCs w:val="20"/>
        </w:rPr>
        <w:t xml:space="preserve"> in this publication </w:t>
      </w:r>
      <w:r w:rsidRPr="00C947F0">
        <w:rPr>
          <w:rFonts w:ascii="Archivo" w:hAnsi="Archivo"/>
          <w:sz w:val="20"/>
          <w:szCs w:val="20"/>
        </w:rPr>
        <w:t>examines management interventions designed to address the impact of exploitation.</w:t>
      </w:r>
      <w:r w:rsidR="00395D0E">
        <w:rPr>
          <w:rFonts w:ascii="Archivo" w:hAnsi="Archivo"/>
          <w:sz w:val="20"/>
          <w:szCs w:val="20"/>
        </w:rPr>
        <w:t xml:space="preserve"> Boxes 3 and 4 provide</w:t>
      </w:r>
      <w:r w:rsidR="00C51993">
        <w:rPr>
          <w:rFonts w:ascii="Archivo" w:hAnsi="Archivo"/>
          <w:sz w:val="20"/>
          <w:szCs w:val="20"/>
        </w:rPr>
        <w:t xml:space="preserve"> </w:t>
      </w:r>
      <w:r w:rsidR="00395D0E">
        <w:rPr>
          <w:rFonts w:ascii="Archivo" w:hAnsi="Archivo"/>
          <w:sz w:val="20"/>
          <w:szCs w:val="20"/>
        </w:rPr>
        <w:t xml:space="preserve">examples of species management </w:t>
      </w:r>
      <w:r w:rsidR="00C51993">
        <w:rPr>
          <w:rFonts w:ascii="Archivo" w:hAnsi="Archivo"/>
          <w:sz w:val="20"/>
          <w:szCs w:val="20"/>
        </w:rPr>
        <w:t>that relates to adaptive management.</w:t>
      </w:r>
    </w:p>
    <w:tbl>
      <w:tblPr>
        <w:tblStyle w:val="TableGrid"/>
        <w:tblW w:w="8900" w:type="dxa"/>
        <w:tblLook w:val="04A0" w:firstRow="1" w:lastRow="0" w:firstColumn="1" w:lastColumn="0" w:noHBand="0" w:noVBand="1"/>
      </w:tblPr>
      <w:tblGrid>
        <w:gridCol w:w="5536"/>
        <w:gridCol w:w="3364"/>
      </w:tblGrid>
      <w:tr w:rsidR="00F31CF4" w:rsidRPr="00440CA1" w14:paraId="7CB24291" w14:textId="77777777" w:rsidTr="008B130B">
        <w:trPr>
          <w:trHeight w:val="416"/>
        </w:trPr>
        <w:tc>
          <w:tcPr>
            <w:tcW w:w="8900" w:type="dxa"/>
            <w:gridSpan w:val="2"/>
          </w:tcPr>
          <w:p w14:paraId="52AAC772" w14:textId="48FCEB14" w:rsidR="00F31CF4" w:rsidRPr="00440CA1" w:rsidRDefault="00F31CF4" w:rsidP="00977D96">
            <w:pPr>
              <w:pStyle w:val="Heading3"/>
              <w:rPr>
                <w:rFonts w:ascii="Archivo" w:eastAsia="Times New Roman" w:hAnsi="Archivo"/>
                <w:b/>
                <w:bCs/>
                <w:sz w:val="18"/>
                <w:szCs w:val="18"/>
                <w:lang w:eastAsia="en-GB"/>
              </w:rPr>
            </w:pPr>
            <w:r w:rsidRPr="00440CA1">
              <w:rPr>
                <w:rFonts w:ascii="Archivo" w:eastAsia="Times New Roman" w:hAnsi="Archivo"/>
                <w:b/>
                <w:bCs/>
                <w:color w:val="000000" w:themeColor="text1"/>
                <w:sz w:val="18"/>
                <w:szCs w:val="18"/>
                <w:lang w:eastAsia="en-GB"/>
              </w:rPr>
              <w:t xml:space="preserve">BOX </w:t>
            </w:r>
            <w:r w:rsidR="00395D0E">
              <w:rPr>
                <w:rFonts w:ascii="Archivo" w:eastAsia="Times New Roman" w:hAnsi="Archivo"/>
                <w:b/>
                <w:bCs/>
                <w:color w:val="000000" w:themeColor="text1"/>
                <w:sz w:val="18"/>
                <w:szCs w:val="18"/>
                <w:lang w:eastAsia="en-GB"/>
              </w:rPr>
              <w:t>3</w:t>
            </w:r>
            <w:r w:rsidRPr="00440CA1">
              <w:rPr>
                <w:rFonts w:ascii="Archivo" w:eastAsia="Times New Roman" w:hAnsi="Archivo"/>
                <w:b/>
                <w:bCs/>
                <w:color w:val="000000" w:themeColor="text1"/>
                <w:sz w:val="18"/>
                <w:szCs w:val="18"/>
                <w:lang w:eastAsia="en-GB"/>
              </w:rPr>
              <w:t>: Preventing illegal take, killing and trade of Helmeted Hornbill</w:t>
            </w:r>
            <w:r w:rsidRPr="00440CA1">
              <w:rPr>
                <w:rStyle w:val="FootnoteReference"/>
                <w:rFonts w:ascii="Archivo" w:eastAsia="Times New Roman" w:hAnsi="Archivo"/>
                <w:b/>
                <w:bCs/>
                <w:color w:val="000000" w:themeColor="text1"/>
                <w:sz w:val="18"/>
                <w:szCs w:val="18"/>
                <w:lang w:eastAsia="en-GB"/>
              </w:rPr>
              <w:footnoteReference w:id="43"/>
            </w:r>
          </w:p>
        </w:tc>
      </w:tr>
      <w:tr w:rsidR="00F31CF4" w:rsidRPr="00440CA1" w14:paraId="00D7CD40" w14:textId="77777777" w:rsidTr="00472600">
        <w:trPr>
          <w:trHeight w:val="3022"/>
        </w:trPr>
        <w:tc>
          <w:tcPr>
            <w:tcW w:w="5536" w:type="dxa"/>
          </w:tcPr>
          <w:p w14:paraId="5DB0B2EE" w14:textId="77777777" w:rsidR="00F31CF4" w:rsidRPr="00440CA1" w:rsidRDefault="00F31CF4" w:rsidP="00472600">
            <w:pPr>
              <w:jc w:val="center"/>
              <w:rPr>
                <w:rFonts w:ascii="Archivo" w:eastAsia="Times New Roman" w:hAnsi="Archivo" w:cs="Calibri"/>
                <w:color w:val="000000"/>
                <w:sz w:val="18"/>
                <w:szCs w:val="18"/>
                <w:lang w:eastAsia="en-GB"/>
              </w:rPr>
            </w:pPr>
            <w:r w:rsidRPr="00440CA1">
              <w:rPr>
                <w:rFonts w:ascii="Archivo" w:eastAsia="Times New Roman" w:hAnsi="Archivo" w:cs="Calibri"/>
                <w:noProof/>
                <w:color w:val="000000"/>
                <w:sz w:val="18"/>
                <w:szCs w:val="18"/>
                <w:lang w:eastAsia="en-GB"/>
              </w:rPr>
              <w:drawing>
                <wp:inline distT="0" distB="0" distL="0" distR="0" wp14:anchorId="6603D904" wp14:editId="5B4D4539">
                  <wp:extent cx="2813891" cy="1860550"/>
                  <wp:effectExtent l="0" t="0" r="5715" b="6350"/>
                  <wp:docPr id="10" name="Picture 10" descr="A map of asia with green bor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sia with green bord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9287" cy="1910402"/>
                          </a:xfrm>
                          <a:prstGeom prst="rect">
                            <a:avLst/>
                          </a:prstGeom>
                        </pic:spPr>
                      </pic:pic>
                    </a:graphicData>
                  </a:graphic>
                </wp:inline>
              </w:drawing>
            </w:r>
          </w:p>
        </w:tc>
        <w:tc>
          <w:tcPr>
            <w:tcW w:w="3364" w:type="dxa"/>
          </w:tcPr>
          <w:p w14:paraId="5ECD30D9" w14:textId="77777777" w:rsidR="00F31CF4" w:rsidRPr="00440CA1" w:rsidRDefault="00F31CF4" w:rsidP="00472600">
            <w:pPr>
              <w:jc w:val="center"/>
              <w:rPr>
                <w:rFonts w:ascii="Archivo" w:eastAsia="Times New Roman" w:hAnsi="Archivo" w:cs="Calibri"/>
                <w:color w:val="000000"/>
                <w:sz w:val="18"/>
                <w:szCs w:val="18"/>
                <w:lang w:eastAsia="en-GB"/>
              </w:rPr>
            </w:pPr>
            <w:r w:rsidRPr="00440CA1">
              <w:rPr>
                <w:rFonts w:ascii="Archivo" w:eastAsia="Times New Roman" w:hAnsi="Archivo" w:cs="Calibri"/>
                <w:noProof/>
                <w:color w:val="000000"/>
                <w:sz w:val="18"/>
                <w:szCs w:val="18"/>
                <w:lang w:eastAsia="en-GB"/>
              </w:rPr>
              <w:drawing>
                <wp:inline distT="0" distB="0" distL="0" distR="0" wp14:anchorId="45D9D053" wp14:editId="458ACA00">
                  <wp:extent cx="1411368" cy="1905000"/>
                  <wp:effectExtent l="0" t="0" r="0" b="0"/>
                  <wp:docPr id="11" name="Picture 11" descr="A bird with a long tail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 with a long tail sitting on a r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9262" cy="1942650"/>
                          </a:xfrm>
                          <a:prstGeom prst="rect">
                            <a:avLst/>
                          </a:prstGeom>
                        </pic:spPr>
                      </pic:pic>
                    </a:graphicData>
                  </a:graphic>
                </wp:inline>
              </w:drawing>
            </w:r>
          </w:p>
        </w:tc>
      </w:tr>
      <w:tr w:rsidR="00F31CF4" w:rsidRPr="00440CA1" w14:paraId="31F4F200" w14:textId="77777777" w:rsidTr="008B130B">
        <w:tc>
          <w:tcPr>
            <w:tcW w:w="8900" w:type="dxa"/>
            <w:gridSpan w:val="2"/>
            <w:vAlign w:val="center"/>
          </w:tcPr>
          <w:p w14:paraId="71E9D09C" w14:textId="77016959" w:rsidR="00F31CF4" w:rsidRPr="00440CA1" w:rsidRDefault="00F31CF4" w:rsidP="008B130B">
            <w:pPr>
              <w:rPr>
                <w:rFonts w:ascii="Archivo" w:eastAsia="Times New Roman" w:hAnsi="Archivo" w:cs="Calibri"/>
                <w:color w:val="000000"/>
                <w:sz w:val="18"/>
                <w:szCs w:val="18"/>
                <w:lang w:eastAsia="en-GB"/>
              </w:rPr>
            </w:pPr>
            <w:r w:rsidRPr="00440CA1">
              <w:rPr>
                <w:rFonts w:ascii="Archivo" w:eastAsia="Times New Roman" w:hAnsi="Archivo" w:cs="Calibri"/>
                <w:color w:val="000000"/>
                <w:sz w:val="18"/>
                <w:szCs w:val="18"/>
                <w:lang w:eastAsia="en-GB"/>
              </w:rPr>
              <w:t>Helmeted Hornbill (</w:t>
            </w:r>
            <w:proofErr w:type="spellStart"/>
            <w:r w:rsidRPr="00440CA1">
              <w:rPr>
                <w:rFonts w:ascii="Archivo" w:eastAsia="Times New Roman" w:hAnsi="Archivo" w:cs="Calibri"/>
                <w:i/>
                <w:iCs/>
                <w:color w:val="000000"/>
                <w:sz w:val="18"/>
                <w:szCs w:val="18"/>
                <w:lang w:eastAsia="en-GB"/>
              </w:rPr>
              <w:t>Rhinoplax</w:t>
            </w:r>
            <w:proofErr w:type="spellEnd"/>
            <w:r w:rsidRPr="00440CA1">
              <w:rPr>
                <w:rFonts w:ascii="Archivo" w:eastAsia="Times New Roman" w:hAnsi="Archivo" w:cs="Calibri"/>
                <w:i/>
                <w:iCs/>
                <w:color w:val="000000"/>
                <w:sz w:val="18"/>
                <w:szCs w:val="18"/>
                <w:lang w:eastAsia="en-GB"/>
              </w:rPr>
              <w:t xml:space="preserve"> vigil</w:t>
            </w:r>
            <w:r w:rsidRPr="00440CA1">
              <w:rPr>
                <w:rFonts w:ascii="Archivo" w:eastAsia="Times New Roman" w:hAnsi="Archivo" w:cs="Calibri"/>
                <w:color w:val="000000"/>
                <w:sz w:val="18"/>
                <w:szCs w:val="18"/>
                <w:lang w:eastAsia="en-GB"/>
              </w:rPr>
              <w:t xml:space="preserve">), a species restricted to South-East Asia, is hunted throughout its range for its unique solid casque, which is used to make ornamental carvings.  International trade in parts, products or specimens of this species for primarily commercial purposes has been illegal under CITES since 1975, while national legislation prohibits hunting and trade in most range states. However, high demand continues to drive unsustainable illegal take, killing and trade. A surge in trade resulted in the species being re-classified in 2015 as Critically Endangered on the IUCN Red list. In response, </w:t>
            </w:r>
            <w:proofErr w:type="spellStart"/>
            <w:r w:rsidRPr="00440CA1">
              <w:rPr>
                <w:rFonts w:ascii="Archivo" w:eastAsia="Times New Roman" w:hAnsi="Archivo" w:cs="Calibri"/>
                <w:color w:val="000000"/>
                <w:sz w:val="18"/>
                <w:szCs w:val="18"/>
                <w:lang w:eastAsia="en-GB"/>
              </w:rPr>
              <w:t>BirdLife</w:t>
            </w:r>
            <w:proofErr w:type="spellEnd"/>
            <w:r w:rsidRPr="00440CA1">
              <w:rPr>
                <w:rFonts w:ascii="Archivo" w:eastAsia="Times New Roman" w:hAnsi="Archivo" w:cs="Calibri"/>
                <w:color w:val="000000"/>
                <w:sz w:val="18"/>
                <w:szCs w:val="18"/>
                <w:lang w:eastAsia="en-GB"/>
              </w:rPr>
              <w:t xml:space="preserve"> and others developed a Range-wide conservation Strategy and Action Plan for conservation of the species</w:t>
            </w:r>
            <w:r w:rsidRPr="00440CA1">
              <w:rPr>
                <w:rStyle w:val="FootnoteReference"/>
                <w:rFonts w:ascii="Archivo" w:eastAsia="Times New Roman" w:hAnsi="Archivo" w:cs="Calibri"/>
                <w:color w:val="000000"/>
                <w:sz w:val="18"/>
                <w:szCs w:val="18"/>
                <w:lang w:eastAsia="en-GB"/>
              </w:rPr>
              <w:footnoteReference w:id="44"/>
            </w:r>
            <w:r w:rsidRPr="00440CA1">
              <w:rPr>
                <w:rFonts w:ascii="Archivo" w:eastAsia="Times New Roman" w:hAnsi="Archivo" w:cs="Calibri"/>
                <w:color w:val="000000"/>
                <w:sz w:val="18"/>
                <w:szCs w:val="18"/>
                <w:lang w:eastAsia="en-GB"/>
              </w:rPr>
              <w:t xml:space="preserve">. The plan has been widely adopted across the range and many actions are already underway. These include: monitoring of hornbill populations and poaching activity; identification of the most important sites of hornbills; public engagement and awareness raising; disruption of trade routes with seizures at transit points; improved law enforcement at poaching sites; and working with indigenous peoples and local communities to appointment them as guardians for their local hornbill populations. This approach has been successful in securing several high </w:t>
            </w:r>
            <w:r w:rsidRPr="00440CA1">
              <w:rPr>
                <w:rFonts w:ascii="Archivo" w:eastAsia="Times New Roman" w:hAnsi="Archivo" w:cs="Calibri"/>
                <w:color w:val="000000"/>
                <w:sz w:val="18"/>
                <w:szCs w:val="18"/>
                <w:lang w:eastAsia="en-GB"/>
              </w:rPr>
              <w:lastRenderedPageBreak/>
              <w:t xml:space="preserve">priority sites across Indonesia, Malaysia, Myanmar and Thailand, with these </w:t>
            </w:r>
            <w:r w:rsidR="00977D96" w:rsidRPr="00440CA1">
              <w:rPr>
                <w:rFonts w:ascii="Archivo" w:eastAsia="Times New Roman" w:hAnsi="Archivo" w:cs="Calibri"/>
                <w:color w:val="000000"/>
                <w:sz w:val="18"/>
                <w:szCs w:val="18"/>
                <w:lang w:eastAsia="en-GB"/>
              </w:rPr>
              <w:t>countries’</w:t>
            </w:r>
            <w:r w:rsidRPr="00440CA1">
              <w:rPr>
                <w:rFonts w:ascii="Archivo" w:eastAsia="Times New Roman" w:hAnsi="Archivo" w:cs="Calibri"/>
                <w:color w:val="000000"/>
                <w:sz w:val="18"/>
                <w:szCs w:val="18"/>
                <w:lang w:eastAsia="en-GB"/>
              </w:rPr>
              <w:t xml:space="preserve"> sites are acting as ‘safe havens’ where the hornbills breed and are shielded from illegal take.     </w:t>
            </w:r>
          </w:p>
        </w:tc>
      </w:tr>
    </w:tbl>
    <w:p w14:paraId="1CF4BCA6" w14:textId="77777777" w:rsidR="00F31CF4" w:rsidRDefault="00F31CF4" w:rsidP="00F31CF4">
      <w:pPr>
        <w:rPr>
          <w:rFonts w:ascii="Archivo" w:hAnsi="Archivo"/>
          <w:sz w:val="20"/>
          <w:szCs w:val="20"/>
        </w:rPr>
      </w:pPr>
    </w:p>
    <w:tbl>
      <w:tblPr>
        <w:tblStyle w:val="TableGrid"/>
        <w:tblW w:w="8926" w:type="dxa"/>
        <w:tblLook w:val="04A0" w:firstRow="1" w:lastRow="0" w:firstColumn="1" w:lastColumn="0" w:noHBand="0" w:noVBand="1"/>
      </w:tblPr>
      <w:tblGrid>
        <w:gridCol w:w="5524"/>
        <w:gridCol w:w="3402"/>
      </w:tblGrid>
      <w:tr w:rsidR="00F31CF4" w:rsidRPr="00440CA1" w14:paraId="618BF368" w14:textId="77777777" w:rsidTr="008B130B">
        <w:tc>
          <w:tcPr>
            <w:tcW w:w="8926" w:type="dxa"/>
            <w:gridSpan w:val="2"/>
          </w:tcPr>
          <w:p w14:paraId="3C99562E" w14:textId="256FE8C0" w:rsidR="00F31CF4" w:rsidRPr="00624CD5" w:rsidRDefault="00F31CF4" w:rsidP="00624CD5">
            <w:pPr>
              <w:pStyle w:val="Heading3"/>
              <w:rPr>
                <w:rFonts w:ascii="Archivo" w:eastAsia="Times New Roman" w:hAnsi="Archivo"/>
                <w:color w:val="auto"/>
                <w:sz w:val="18"/>
                <w:szCs w:val="18"/>
                <w:lang w:eastAsia="en-GB"/>
              </w:rPr>
            </w:pPr>
            <w:r w:rsidRPr="00624CD5">
              <w:rPr>
                <w:rFonts w:ascii="Archivo" w:eastAsia="Times New Roman" w:hAnsi="Archivo"/>
                <w:b/>
                <w:bCs/>
                <w:color w:val="auto"/>
                <w:sz w:val="18"/>
                <w:szCs w:val="18"/>
                <w:lang w:eastAsia="en-GB"/>
              </w:rPr>
              <w:t xml:space="preserve">BOX </w:t>
            </w:r>
            <w:r w:rsidR="00395D0E">
              <w:rPr>
                <w:rFonts w:ascii="Archivo" w:eastAsia="Times New Roman" w:hAnsi="Archivo"/>
                <w:b/>
                <w:bCs/>
                <w:color w:val="auto"/>
                <w:sz w:val="18"/>
                <w:szCs w:val="18"/>
                <w:lang w:eastAsia="en-GB"/>
              </w:rPr>
              <w:t>4</w:t>
            </w:r>
            <w:r w:rsidRPr="00624CD5">
              <w:rPr>
                <w:rFonts w:ascii="Archivo" w:eastAsia="Times New Roman" w:hAnsi="Archivo"/>
                <w:color w:val="auto"/>
                <w:sz w:val="18"/>
                <w:szCs w:val="18"/>
                <w:lang w:eastAsia="en-GB"/>
              </w:rPr>
              <w:t xml:space="preserve">: </w:t>
            </w:r>
            <w:r w:rsidRPr="00624CD5">
              <w:rPr>
                <w:rFonts w:ascii="Archivo" w:eastAsia="Times New Roman" w:hAnsi="Archivo"/>
                <w:b/>
                <w:bCs/>
                <w:color w:val="auto"/>
                <w:sz w:val="18"/>
                <w:szCs w:val="18"/>
                <w:lang w:eastAsia="en-GB"/>
              </w:rPr>
              <w:t>Local self-regulation can be more effective at ensuring sustainable resource use than an outright ban</w:t>
            </w:r>
            <w:r w:rsidRPr="00624CD5">
              <w:rPr>
                <w:rStyle w:val="FootnoteReference"/>
                <w:rFonts w:ascii="Archivo" w:eastAsia="Times New Roman" w:hAnsi="Archivo"/>
                <w:b/>
                <w:bCs/>
                <w:color w:val="auto"/>
                <w:sz w:val="18"/>
                <w:szCs w:val="18"/>
                <w:lang w:eastAsia="en-GB"/>
              </w:rPr>
              <w:footnoteReference w:id="45"/>
            </w:r>
          </w:p>
        </w:tc>
      </w:tr>
      <w:tr w:rsidR="00F31CF4" w:rsidRPr="00440CA1" w14:paraId="4D10199E" w14:textId="77777777" w:rsidTr="008B130B">
        <w:tc>
          <w:tcPr>
            <w:tcW w:w="5524" w:type="dxa"/>
          </w:tcPr>
          <w:p w14:paraId="5105CEAC" w14:textId="77777777" w:rsidR="00F31CF4" w:rsidRPr="00624CD5" w:rsidRDefault="00F31CF4" w:rsidP="008B130B">
            <w:pPr>
              <w:rPr>
                <w:rFonts w:ascii="Archivo" w:eastAsia="Times New Roman" w:hAnsi="Archivo" w:cstheme="minorHAnsi"/>
                <w:sz w:val="18"/>
                <w:szCs w:val="18"/>
                <w:lang w:eastAsia="en-GB"/>
              </w:rPr>
            </w:pPr>
            <w:r w:rsidRPr="00624CD5">
              <w:rPr>
                <w:rFonts w:ascii="Archivo" w:hAnsi="Archivo" w:cstheme="minorHAnsi"/>
                <w:sz w:val="18"/>
                <w:szCs w:val="18"/>
                <w:shd w:val="clear" w:color="auto" w:fill="FFFFFF"/>
              </w:rPr>
              <w:t xml:space="preserve">An outright ban, though at times necessary, is not always the most effective or desirable mechanism for dealing with unsustainable levels of hunting. For example, at Lake </w:t>
            </w:r>
            <w:proofErr w:type="spellStart"/>
            <w:r w:rsidRPr="00624CD5">
              <w:rPr>
                <w:rFonts w:ascii="Archivo" w:hAnsi="Archivo" w:cstheme="minorHAnsi"/>
                <w:sz w:val="18"/>
                <w:szCs w:val="18"/>
                <w:shd w:val="clear" w:color="auto" w:fill="FFFFFF"/>
              </w:rPr>
              <w:t>Chilwa</w:t>
            </w:r>
            <w:proofErr w:type="spellEnd"/>
            <w:r w:rsidRPr="00624CD5">
              <w:rPr>
                <w:rFonts w:ascii="Archivo" w:hAnsi="Archivo" w:cstheme="minorHAnsi"/>
                <w:sz w:val="18"/>
                <w:szCs w:val="18"/>
                <w:shd w:val="clear" w:color="auto" w:fill="FFFFFF"/>
              </w:rPr>
              <w:t xml:space="preserve"> Important Bird Area (IBA) in Malawi—where wildfowl hunting is an important part of local livelihoods—hunting clubs have successfully implemented measures to control hunting. They have also created a framework of fines that are enforced locally and contribute to community projects. This system of self-regulation is working well and, crucially, is respected by the local community.</w:t>
            </w:r>
          </w:p>
        </w:tc>
        <w:tc>
          <w:tcPr>
            <w:tcW w:w="3402" w:type="dxa"/>
          </w:tcPr>
          <w:p w14:paraId="66D679EB" w14:textId="77777777" w:rsidR="00F31CF4" w:rsidRPr="00624CD5" w:rsidRDefault="00F31CF4" w:rsidP="008B130B">
            <w:pPr>
              <w:rPr>
                <w:rFonts w:ascii="Archivo" w:eastAsia="Times New Roman" w:hAnsi="Archivo" w:cs="Calibri"/>
                <w:sz w:val="18"/>
                <w:szCs w:val="18"/>
                <w:lang w:eastAsia="en-GB"/>
              </w:rPr>
            </w:pPr>
            <w:r w:rsidRPr="00624CD5">
              <w:rPr>
                <w:rFonts w:ascii="Archivo" w:hAnsi="Archivo"/>
                <w:noProof/>
                <w:sz w:val="18"/>
                <w:szCs w:val="18"/>
              </w:rPr>
              <w:drawing>
                <wp:inline distT="0" distB="0" distL="0" distR="0" wp14:anchorId="07FB3769" wp14:editId="4B8968BF">
                  <wp:extent cx="1818617" cy="14672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37539" cy="1482560"/>
                          </a:xfrm>
                          <a:prstGeom prst="rect">
                            <a:avLst/>
                          </a:prstGeom>
                        </pic:spPr>
                      </pic:pic>
                    </a:graphicData>
                  </a:graphic>
                </wp:inline>
              </w:drawing>
            </w:r>
          </w:p>
        </w:tc>
      </w:tr>
      <w:tr w:rsidR="00F31CF4" w:rsidRPr="00440CA1" w14:paraId="2362FF6E" w14:textId="77777777" w:rsidTr="008B130B">
        <w:trPr>
          <w:trHeight w:val="1408"/>
        </w:trPr>
        <w:tc>
          <w:tcPr>
            <w:tcW w:w="8926" w:type="dxa"/>
            <w:gridSpan w:val="2"/>
          </w:tcPr>
          <w:p w14:paraId="7DB395CA" w14:textId="77777777" w:rsidR="00F31CF4" w:rsidRPr="00624CD5" w:rsidRDefault="00F31CF4" w:rsidP="008B130B">
            <w:pPr>
              <w:pStyle w:val="NormalWeb"/>
              <w:shd w:val="clear" w:color="auto" w:fill="FFFFFF"/>
              <w:spacing w:before="0" w:beforeAutospacing="0" w:after="150" w:afterAutospacing="0"/>
              <w:rPr>
                <w:rFonts w:ascii="Archivo" w:hAnsi="Archivo" w:cstheme="minorHAnsi"/>
                <w:sz w:val="18"/>
                <w:szCs w:val="18"/>
              </w:rPr>
            </w:pPr>
            <w:r w:rsidRPr="00624CD5">
              <w:rPr>
                <w:rFonts w:ascii="Archivo" w:hAnsi="Archivo" w:cstheme="minorHAnsi"/>
                <w:sz w:val="18"/>
                <w:szCs w:val="18"/>
              </w:rPr>
              <w:t xml:space="preserve">Lake </w:t>
            </w:r>
            <w:proofErr w:type="spellStart"/>
            <w:r w:rsidRPr="00624CD5">
              <w:rPr>
                <w:rFonts w:ascii="Archivo" w:hAnsi="Archivo" w:cstheme="minorHAnsi"/>
                <w:sz w:val="18"/>
                <w:szCs w:val="18"/>
              </w:rPr>
              <w:t>Chilwa</w:t>
            </w:r>
            <w:proofErr w:type="spellEnd"/>
            <w:r w:rsidRPr="00624CD5">
              <w:rPr>
                <w:rFonts w:ascii="Archivo" w:hAnsi="Archivo" w:cstheme="minorHAnsi"/>
                <w:sz w:val="18"/>
                <w:szCs w:val="18"/>
              </w:rPr>
              <w:t xml:space="preserve"> Important Bird Area (IBA), a shallow lake of about 700 km² bordered by swamps and seasonally flooded grassland, is very rich in fish and supports the livelihoods of about 60,000 people. It meets IBA criteria mainly because of its large congregations of waterfowl. Hunting these birds has long been part of local livelihoods, but large-scale commercial exploitation started in 1996, when the lake dried up and the fishery collapsed. This ability to shift between resources is an important dimension of the resilience of people dependent on natural resources and living in an uncertain environment. But a survey in 1998/99 estimated that over a million waterfowl had been taken following the drying of the lake, a level that appeared unsustainable.</w:t>
            </w:r>
          </w:p>
          <w:p w14:paraId="6D866CF4" w14:textId="77777777" w:rsidR="00F31CF4" w:rsidRPr="00624CD5" w:rsidRDefault="00F31CF4" w:rsidP="008B130B">
            <w:pPr>
              <w:pStyle w:val="NormalWeb"/>
              <w:shd w:val="clear" w:color="auto" w:fill="FFFFFF"/>
              <w:spacing w:before="0" w:beforeAutospacing="0" w:after="150" w:afterAutospacing="0"/>
              <w:rPr>
                <w:rFonts w:ascii="Archivo" w:hAnsi="Archivo" w:cstheme="minorHAnsi"/>
                <w:sz w:val="18"/>
                <w:szCs w:val="18"/>
              </w:rPr>
            </w:pPr>
            <w:r w:rsidRPr="00624CD5">
              <w:rPr>
                <w:rFonts w:ascii="Archivo" w:hAnsi="Archivo" w:cstheme="minorHAnsi"/>
                <w:sz w:val="18"/>
                <w:szCs w:val="18"/>
              </w:rPr>
              <w:t xml:space="preserve">The response of </w:t>
            </w:r>
            <w:proofErr w:type="spellStart"/>
            <w:r w:rsidRPr="00624CD5">
              <w:rPr>
                <w:rFonts w:ascii="Archivo" w:hAnsi="Archivo" w:cstheme="minorHAnsi"/>
                <w:sz w:val="18"/>
                <w:szCs w:val="18"/>
              </w:rPr>
              <w:t>BirdLife</w:t>
            </w:r>
            <w:proofErr w:type="spellEnd"/>
            <w:r w:rsidRPr="00624CD5">
              <w:rPr>
                <w:rFonts w:ascii="Archivo" w:hAnsi="Archivo" w:cstheme="minorHAnsi"/>
                <w:sz w:val="18"/>
                <w:szCs w:val="18"/>
              </w:rPr>
              <w:t xml:space="preserve"> Partner the Wildlife and Environmental Society of Malawi (WESM) was not, as might have been expected, to seek a ban on bird hunting, but to find a way to give communities the responsibility and capacity to manage their resource sustainably. A revision of Malawi’s Wildlife Act allows Community Conserved Areas to be established. Under the management of WESM’s Zomba branch, 20 hunting clubs have been created around the lake, with representatives elected to an umbrella body. WESM worked with the clubs and local government to reach an agreement on measures such as a closed season, no-hunting zones, and licensing and bag-limits. These have been written into a by-law, with a framework of fines and measures for dealing with infractions. Importantly, the whole process operates at the local level—offenders are dealt with by traditional chiefs, and fines contribute to community projects like repairing bore-holes and improving school buildings.</w:t>
            </w:r>
          </w:p>
          <w:p w14:paraId="590EAF2C" w14:textId="77777777" w:rsidR="00F31CF4" w:rsidRPr="00624CD5" w:rsidRDefault="00F31CF4" w:rsidP="008B130B">
            <w:pPr>
              <w:pStyle w:val="NormalWeb"/>
              <w:shd w:val="clear" w:color="auto" w:fill="FFFFFF"/>
              <w:spacing w:before="0" w:beforeAutospacing="0" w:after="150" w:afterAutospacing="0"/>
              <w:rPr>
                <w:rFonts w:ascii="Archivo" w:hAnsi="Archivo" w:cstheme="minorHAnsi"/>
                <w:sz w:val="18"/>
                <w:szCs w:val="18"/>
              </w:rPr>
            </w:pPr>
            <w:r w:rsidRPr="00624CD5">
              <w:rPr>
                <w:rFonts w:ascii="Archivo" w:hAnsi="Archivo" w:cstheme="minorHAnsi"/>
                <w:sz w:val="18"/>
                <w:szCs w:val="18"/>
                <w:shd w:val="clear" w:color="auto" w:fill="FFFFFF"/>
              </w:rPr>
              <w:t>So far, the system is working well, and the regulations seem to be respected. The hunting clubs are now looking at ways of diversifying their livelihoods. They are earning extra income by guiding tourists and, with WESM’s help, have developed a tourism business plan. The hunters also carry out bird censuses four times a year, in January, April, July and October.</w:t>
            </w:r>
          </w:p>
        </w:tc>
      </w:tr>
    </w:tbl>
    <w:p w14:paraId="6BCE7FFF" w14:textId="4AFB34BB" w:rsidR="008779D5" w:rsidRPr="006D5D8E" w:rsidRDefault="00624CD5" w:rsidP="00472600">
      <w:pPr>
        <w:pStyle w:val="Heading1"/>
        <w:spacing w:after="240"/>
        <w:ind w:firstLine="720"/>
        <w:jc w:val="both"/>
        <w:rPr>
          <w:rFonts w:ascii="Archivo" w:hAnsi="Archivo"/>
          <w:b/>
          <w:bCs/>
          <w:color w:val="2F5497"/>
          <w:sz w:val="24"/>
          <w:szCs w:val="24"/>
        </w:rPr>
      </w:pPr>
      <w:r>
        <w:rPr>
          <w:rFonts w:ascii="Archivo" w:hAnsi="Archivo"/>
          <w:b/>
          <w:bCs/>
          <w:color w:val="2F5497"/>
          <w:sz w:val="24"/>
          <w:szCs w:val="24"/>
        </w:rPr>
        <w:t>3.3.</w:t>
      </w:r>
      <w:r>
        <w:rPr>
          <w:rFonts w:ascii="Archivo" w:hAnsi="Archivo"/>
          <w:b/>
          <w:bCs/>
          <w:color w:val="2F5497"/>
          <w:sz w:val="24"/>
          <w:szCs w:val="24"/>
        </w:rPr>
        <w:tab/>
      </w:r>
      <w:r w:rsidR="00F31CF4" w:rsidRPr="006D5D8E">
        <w:rPr>
          <w:rFonts w:ascii="Archivo" w:hAnsi="Archivo"/>
          <w:b/>
          <w:bCs/>
          <w:color w:val="2F5497"/>
          <w:sz w:val="24"/>
          <w:szCs w:val="24"/>
        </w:rPr>
        <w:t>Monitoring approaches for birds</w:t>
      </w:r>
    </w:p>
    <w:p w14:paraId="296FA286" w14:textId="77777777" w:rsidR="00440CA1" w:rsidRPr="00440CA1" w:rsidRDefault="00F31CF4" w:rsidP="00624CD5">
      <w:pPr>
        <w:spacing w:after="240"/>
        <w:jc w:val="both"/>
        <w:rPr>
          <w:rFonts w:ascii="Archivo" w:hAnsi="Archivo" w:cstheme="minorHAnsi"/>
          <w:sz w:val="20"/>
          <w:szCs w:val="20"/>
        </w:rPr>
      </w:pPr>
      <w:r w:rsidRPr="00440CA1">
        <w:rPr>
          <w:rFonts w:ascii="Archivo" w:hAnsi="Archivo"/>
          <w:sz w:val="20"/>
          <w:szCs w:val="20"/>
        </w:rPr>
        <w:t xml:space="preserve">Population monitoring </w:t>
      </w:r>
      <w:r w:rsidR="000E70D3" w:rsidRPr="00440CA1">
        <w:rPr>
          <w:rFonts w:ascii="Archivo" w:hAnsi="Archivo"/>
          <w:sz w:val="20"/>
          <w:szCs w:val="20"/>
        </w:rPr>
        <w:t xml:space="preserve">for birds </w:t>
      </w:r>
      <w:r w:rsidRPr="00440CA1">
        <w:rPr>
          <w:rFonts w:ascii="Archivo" w:hAnsi="Archivo"/>
          <w:sz w:val="20"/>
          <w:szCs w:val="20"/>
        </w:rPr>
        <w:t xml:space="preserve">should be carried out periodically to capture population patterns and trends </w:t>
      </w:r>
      <w:proofErr w:type="gramStart"/>
      <w:r w:rsidRPr="00440CA1">
        <w:rPr>
          <w:rFonts w:ascii="Archivo" w:hAnsi="Archivo"/>
          <w:sz w:val="20"/>
          <w:szCs w:val="20"/>
        </w:rPr>
        <w:t>in order to</w:t>
      </w:r>
      <w:proofErr w:type="gramEnd"/>
      <w:r w:rsidRPr="00440CA1">
        <w:rPr>
          <w:rFonts w:ascii="Archivo" w:hAnsi="Archivo"/>
          <w:sz w:val="20"/>
          <w:szCs w:val="20"/>
        </w:rPr>
        <w:t xml:space="preserve"> accurately inform conservation efforts and sustainable harvest levels. </w:t>
      </w:r>
      <w:r w:rsidR="00440CA1" w:rsidRPr="00440CA1">
        <w:rPr>
          <w:rFonts w:ascii="Archivo" w:hAnsi="Archivo" w:cstheme="minorHAnsi"/>
          <w:sz w:val="20"/>
          <w:szCs w:val="20"/>
        </w:rPr>
        <w:t>The approach taken largely depends on the objectives of the survey/ monitoring regime.</w:t>
      </w:r>
    </w:p>
    <w:p w14:paraId="1B9D33AF" w14:textId="3ABAB03E" w:rsidR="00F31CF4" w:rsidRPr="00C947F0" w:rsidRDefault="00F31CF4" w:rsidP="00624CD5">
      <w:pPr>
        <w:spacing w:after="240"/>
        <w:jc w:val="both"/>
        <w:rPr>
          <w:rFonts w:ascii="Archivo" w:hAnsi="Archivo"/>
          <w:sz w:val="20"/>
          <w:szCs w:val="20"/>
        </w:rPr>
      </w:pPr>
      <w:r w:rsidRPr="00C947F0">
        <w:rPr>
          <w:rFonts w:ascii="Archivo" w:hAnsi="Archivo"/>
          <w:sz w:val="20"/>
          <w:szCs w:val="20"/>
        </w:rPr>
        <w:t>Types of estimates of population include,</w:t>
      </w:r>
    </w:p>
    <w:p w14:paraId="78D47578" w14:textId="77777777" w:rsidR="00F31CF4" w:rsidRPr="00C947F0" w:rsidRDefault="00F31CF4" w:rsidP="00624CD5">
      <w:pPr>
        <w:pStyle w:val="ListParagraph"/>
        <w:numPr>
          <w:ilvl w:val="0"/>
          <w:numId w:val="15"/>
        </w:numPr>
        <w:spacing w:after="240"/>
        <w:contextualSpacing w:val="0"/>
        <w:jc w:val="both"/>
        <w:rPr>
          <w:rFonts w:ascii="Archivo" w:hAnsi="Archivo"/>
          <w:sz w:val="20"/>
          <w:szCs w:val="20"/>
        </w:rPr>
      </w:pPr>
      <w:r w:rsidRPr="00C947F0">
        <w:rPr>
          <w:rFonts w:ascii="Archivo" w:hAnsi="Archivo"/>
          <w:sz w:val="20"/>
          <w:szCs w:val="20"/>
        </w:rPr>
        <w:t>Abundance, derived from birds identified and counted in the field</w:t>
      </w:r>
    </w:p>
    <w:p w14:paraId="09AB85F1" w14:textId="77777777" w:rsidR="00F31CF4" w:rsidRPr="00C947F0" w:rsidRDefault="00F31CF4" w:rsidP="00624CD5">
      <w:pPr>
        <w:pStyle w:val="ListParagraph"/>
        <w:numPr>
          <w:ilvl w:val="0"/>
          <w:numId w:val="15"/>
        </w:numPr>
        <w:spacing w:after="240"/>
        <w:contextualSpacing w:val="0"/>
        <w:jc w:val="both"/>
        <w:rPr>
          <w:rFonts w:ascii="Archivo" w:hAnsi="Archivo" w:cstheme="minorHAnsi"/>
          <w:sz w:val="20"/>
          <w:szCs w:val="20"/>
        </w:rPr>
      </w:pPr>
      <w:r w:rsidRPr="00C947F0">
        <w:rPr>
          <w:rFonts w:ascii="Archivo" w:hAnsi="Archivo" w:cstheme="minorHAnsi"/>
          <w:sz w:val="20"/>
          <w:szCs w:val="20"/>
        </w:rPr>
        <w:t xml:space="preserve">Relative abundance, derived from the frequency with which birds </w:t>
      </w:r>
      <w:r w:rsidRPr="008779D5">
        <w:rPr>
          <w:rFonts w:ascii="Archivo" w:hAnsi="Archivo" w:cstheme="minorHAnsi"/>
          <w:b/>
          <w:bCs/>
          <w:sz w:val="20"/>
          <w:szCs w:val="20"/>
        </w:rPr>
        <w:t xml:space="preserve">were detected and </w:t>
      </w:r>
      <w:r w:rsidRPr="008779D5">
        <w:rPr>
          <w:rStyle w:val="Strong"/>
          <w:rFonts w:ascii="Archivo" w:hAnsi="Archivo" w:cstheme="minorHAnsi"/>
          <w:b w:val="0"/>
          <w:bCs w:val="0"/>
          <w:color w:val="111111"/>
          <w:sz w:val="20"/>
          <w:szCs w:val="20"/>
          <w:shd w:val="clear" w:color="auto" w:fill="FFFFFF"/>
        </w:rPr>
        <w:t>how common or rare a species is relative to other species in a given location or community.</w:t>
      </w:r>
      <w:r w:rsidRPr="008779D5">
        <w:rPr>
          <w:rFonts w:ascii="Archivo" w:hAnsi="Archivo" w:cstheme="minorHAnsi"/>
          <w:b/>
          <w:bCs/>
          <w:color w:val="111111"/>
          <w:sz w:val="20"/>
          <w:szCs w:val="20"/>
          <w:shd w:val="clear" w:color="auto" w:fill="FFFFFF"/>
        </w:rPr>
        <w:t> </w:t>
      </w:r>
    </w:p>
    <w:p w14:paraId="2D624DBB" w14:textId="1E233166" w:rsidR="00472600" w:rsidRPr="00F55571" w:rsidRDefault="00F31CF4" w:rsidP="00F55571">
      <w:pPr>
        <w:pStyle w:val="ListParagraph"/>
        <w:numPr>
          <w:ilvl w:val="0"/>
          <w:numId w:val="15"/>
        </w:numPr>
        <w:spacing w:after="240"/>
        <w:contextualSpacing w:val="0"/>
        <w:jc w:val="both"/>
        <w:rPr>
          <w:rFonts w:ascii="Archivo" w:hAnsi="Archivo" w:cstheme="minorHAnsi"/>
          <w:sz w:val="20"/>
          <w:szCs w:val="20"/>
        </w:rPr>
      </w:pPr>
      <w:r w:rsidRPr="00C947F0">
        <w:rPr>
          <w:rFonts w:ascii="Archivo" w:hAnsi="Archivo" w:cstheme="minorHAnsi"/>
          <w:color w:val="111111"/>
          <w:sz w:val="20"/>
          <w:szCs w:val="20"/>
          <w:shd w:val="clear" w:color="auto" w:fill="FFFFFF"/>
        </w:rPr>
        <w:t>Density, based on the num</w:t>
      </w:r>
      <w:r w:rsidR="008779D5">
        <w:rPr>
          <w:rFonts w:ascii="Archivo" w:hAnsi="Archivo" w:cstheme="minorHAnsi"/>
          <w:color w:val="111111"/>
          <w:sz w:val="20"/>
          <w:szCs w:val="20"/>
          <w:shd w:val="clear" w:color="auto" w:fill="FFFFFF"/>
        </w:rPr>
        <w:t>b</w:t>
      </w:r>
      <w:r w:rsidRPr="00C947F0">
        <w:rPr>
          <w:rFonts w:ascii="Archivo" w:hAnsi="Archivo" w:cstheme="minorHAnsi"/>
          <w:color w:val="111111"/>
          <w:sz w:val="20"/>
          <w:szCs w:val="20"/>
          <w:shd w:val="clear" w:color="auto" w:fill="FFFFFF"/>
        </w:rPr>
        <w:t>er of birds of a given species counted in a specified distance/ per unit area.</w:t>
      </w:r>
    </w:p>
    <w:p w14:paraId="4FFE3877" w14:textId="22B01E23" w:rsidR="00F31CF4" w:rsidRPr="00C947F0" w:rsidRDefault="00A95156" w:rsidP="00624CD5">
      <w:pPr>
        <w:spacing w:after="240"/>
        <w:jc w:val="both"/>
        <w:rPr>
          <w:rFonts w:ascii="Archivo" w:hAnsi="Archivo"/>
          <w:sz w:val="20"/>
          <w:szCs w:val="20"/>
        </w:rPr>
      </w:pPr>
      <w:r w:rsidRPr="00A95156">
        <w:rPr>
          <w:rFonts w:ascii="Archivo" w:hAnsi="Archivo"/>
          <w:b/>
          <w:bCs/>
          <w:sz w:val="20"/>
          <w:szCs w:val="20"/>
        </w:rPr>
        <w:lastRenderedPageBreak/>
        <w:t>Table 1.</w:t>
      </w:r>
      <w:r>
        <w:rPr>
          <w:rFonts w:ascii="Archivo" w:hAnsi="Archivo"/>
          <w:sz w:val="20"/>
          <w:szCs w:val="20"/>
        </w:rPr>
        <w:t xml:space="preserve"> Survey methods for field monitoring of birds. </w:t>
      </w:r>
      <w:r w:rsidR="00F31CF4" w:rsidRPr="00C947F0">
        <w:rPr>
          <w:rFonts w:ascii="Archivo" w:hAnsi="Archivo"/>
          <w:sz w:val="20"/>
          <w:szCs w:val="20"/>
        </w:rPr>
        <w:t xml:space="preserve">Adapted from </w:t>
      </w:r>
      <w:proofErr w:type="spellStart"/>
      <w:r w:rsidR="00F31CF4" w:rsidRPr="00C947F0">
        <w:rPr>
          <w:rFonts w:ascii="Archivo" w:hAnsi="Archivo"/>
          <w:sz w:val="20"/>
          <w:szCs w:val="20"/>
        </w:rPr>
        <w:t>Irham</w:t>
      </w:r>
      <w:proofErr w:type="spellEnd"/>
      <w:r w:rsidR="00F31CF4" w:rsidRPr="00C947F0">
        <w:rPr>
          <w:rFonts w:ascii="Archivo" w:hAnsi="Archivo"/>
          <w:sz w:val="20"/>
          <w:szCs w:val="20"/>
        </w:rPr>
        <w:t xml:space="preserve"> (2018)</w:t>
      </w:r>
      <w:r w:rsidR="00F31CF4" w:rsidRPr="00C947F0">
        <w:rPr>
          <w:rStyle w:val="FootnoteReference"/>
          <w:rFonts w:ascii="Archivo" w:hAnsi="Archivo"/>
          <w:sz w:val="20"/>
          <w:szCs w:val="20"/>
        </w:rPr>
        <w:footnoteReference w:id="46"/>
      </w:r>
    </w:p>
    <w:tbl>
      <w:tblPr>
        <w:tblStyle w:val="TableGrid"/>
        <w:tblW w:w="0" w:type="auto"/>
        <w:tblLook w:val="04A0" w:firstRow="1" w:lastRow="0" w:firstColumn="1" w:lastColumn="0" w:noHBand="0" w:noVBand="1"/>
      </w:tblPr>
      <w:tblGrid>
        <w:gridCol w:w="1271"/>
        <w:gridCol w:w="4394"/>
        <w:gridCol w:w="1276"/>
        <w:gridCol w:w="2075"/>
      </w:tblGrid>
      <w:tr w:rsidR="00F31CF4" w:rsidRPr="00A95156" w14:paraId="57156AD2" w14:textId="77777777" w:rsidTr="00440CA1">
        <w:tc>
          <w:tcPr>
            <w:tcW w:w="1271" w:type="dxa"/>
            <w:vAlign w:val="bottom"/>
          </w:tcPr>
          <w:p w14:paraId="66C907F7" w14:textId="77777777" w:rsidR="00F31CF4" w:rsidRPr="00A95156" w:rsidRDefault="00F31CF4" w:rsidP="008B130B">
            <w:pPr>
              <w:jc w:val="center"/>
              <w:rPr>
                <w:rFonts w:ascii="Archivo" w:hAnsi="Archivo"/>
                <w:b/>
                <w:bCs/>
                <w:sz w:val="18"/>
                <w:szCs w:val="18"/>
              </w:rPr>
            </w:pPr>
            <w:r w:rsidRPr="00A95156">
              <w:rPr>
                <w:rFonts w:ascii="Archivo" w:hAnsi="Archivo"/>
                <w:b/>
                <w:bCs/>
                <w:sz w:val="18"/>
                <w:szCs w:val="18"/>
              </w:rPr>
              <w:t>Method</w:t>
            </w:r>
          </w:p>
        </w:tc>
        <w:tc>
          <w:tcPr>
            <w:tcW w:w="4394" w:type="dxa"/>
            <w:vAlign w:val="bottom"/>
          </w:tcPr>
          <w:p w14:paraId="49438DA9" w14:textId="77777777" w:rsidR="00F31CF4" w:rsidRPr="00A95156" w:rsidRDefault="00F31CF4" w:rsidP="008B130B">
            <w:pPr>
              <w:jc w:val="center"/>
              <w:rPr>
                <w:rFonts w:ascii="Archivo" w:hAnsi="Archivo"/>
                <w:b/>
                <w:bCs/>
                <w:sz w:val="18"/>
                <w:szCs w:val="18"/>
              </w:rPr>
            </w:pPr>
            <w:r w:rsidRPr="00A95156">
              <w:rPr>
                <w:rFonts w:ascii="Archivo" w:hAnsi="Archivo"/>
                <w:b/>
                <w:bCs/>
                <w:sz w:val="18"/>
                <w:szCs w:val="18"/>
              </w:rPr>
              <w:t>Description</w:t>
            </w:r>
          </w:p>
        </w:tc>
        <w:tc>
          <w:tcPr>
            <w:tcW w:w="1276" w:type="dxa"/>
            <w:vAlign w:val="bottom"/>
          </w:tcPr>
          <w:p w14:paraId="3F9E5AB2" w14:textId="77777777" w:rsidR="00F31CF4" w:rsidRPr="00A95156" w:rsidRDefault="00F31CF4" w:rsidP="008B130B">
            <w:pPr>
              <w:jc w:val="center"/>
              <w:rPr>
                <w:rFonts w:ascii="Archivo" w:hAnsi="Archivo"/>
                <w:b/>
                <w:bCs/>
                <w:sz w:val="18"/>
                <w:szCs w:val="18"/>
              </w:rPr>
            </w:pPr>
            <w:r w:rsidRPr="00A95156">
              <w:rPr>
                <w:rFonts w:ascii="Archivo" w:hAnsi="Archivo"/>
                <w:b/>
                <w:bCs/>
                <w:sz w:val="18"/>
                <w:szCs w:val="18"/>
              </w:rPr>
              <w:t>Suitable ecosystems</w:t>
            </w:r>
          </w:p>
        </w:tc>
        <w:tc>
          <w:tcPr>
            <w:tcW w:w="2075" w:type="dxa"/>
            <w:vAlign w:val="bottom"/>
          </w:tcPr>
          <w:p w14:paraId="390A3163" w14:textId="77777777" w:rsidR="00F31CF4" w:rsidRPr="00A95156" w:rsidRDefault="00F31CF4" w:rsidP="008B130B">
            <w:pPr>
              <w:jc w:val="center"/>
              <w:rPr>
                <w:rFonts w:ascii="Archivo" w:hAnsi="Archivo"/>
                <w:b/>
                <w:bCs/>
                <w:sz w:val="18"/>
                <w:szCs w:val="18"/>
              </w:rPr>
            </w:pPr>
            <w:r w:rsidRPr="00A95156">
              <w:rPr>
                <w:rFonts w:ascii="Archivo" w:hAnsi="Archivo"/>
                <w:b/>
                <w:bCs/>
                <w:sz w:val="18"/>
                <w:szCs w:val="18"/>
              </w:rPr>
              <w:t>Complexity</w:t>
            </w:r>
          </w:p>
        </w:tc>
      </w:tr>
      <w:tr w:rsidR="00F31CF4" w:rsidRPr="00A95156" w14:paraId="7453780F" w14:textId="77777777" w:rsidTr="00440CA1">
        <w:tc>
          <w:tcPr>
            <w:tcW w:w="1271" w:type="dxa"/>
          </w:tcPr>
          <w:p w14:paraId="6BAFDB8B" w14:textId="77777777" w:rsidR="00F31CF4" w:rsidRPr="00A95156" w:rsidRDefault="00F31CF4" w:rsidP="008B130B">
            <w:pPr>
              <w:rPr>
                <w:rFonts w:ascii="Archivo" w:hAnsi="Archivo"/>
                <w:b/>
                <w:bCs/>
                <w:sz w:val="18"/>
                <w:szCs w:val="18"/>
              </w:rPr>
            </w:pPr>
            <w:r w:rsidRPr="00A95156">
              <w:rPr>
                <w:rFonts w:ascii="Archivo" w:hAnsi="Archivo"/>
                <w:b/>
                <w:bCs/>
                <w:sz w:val="18"/>
                <w:szCs w:val="18"/>
              </w:rPr>
              <w:t>Area search</w:t>
            </w:r>
          </w:p>
        </w:tc>
        <w:tc>
          <w:tcPr>
            <w:tcW w:w="4394" w:type="dxa"/>
          </w:tcPr>
          <w:p w14:paraId="54865ADB" w14:textId="3561BACC" w:rsidR="00F31CF4" w:rsidRPr="00A95156" w:rsidRDefault="00F31CF4" w:rsidP="008B130B">
            <w:pPr>
              <w:rPr>
                <w:rFonts w:ascii="Archivo" w:hAnsi="Archivo"/>
                <w:sz w:val="18"/>
                <w:szCs w:val="18"/>
              </w:rPr>
            </w:pPr>
            <w:r w:rsidRPr="00A95156">
              <w:rPr>
                <w:rFonts w:ascii="Archivo" w:hAnsi="Archivo"/>
                <w:sz w:val="18"/>
                <w:szCs w:val="18"/>
              </w:rPr>
              <w:t>Records a list of species observed in a given area/ or distance taken to record a pre-specified number of observations. It can be used to estimate species richness and relative abundance. This method can be used to inform more systematic quantitative monitoring (i.e.</w:t>
            </w:r>
            <w:r w:rsidR="00440CA1">
              <w:rPr>
                <w:rFonts w:ascii="Archivo" w:hAnsi="Archivo"/>
                <w:sz w:val="18"/>
                <w:szCs w:val="18"/>
              </w:rPr>
              <w:t>,</w:t>
            </w:r>
            <w:r w:rsidRPr="00A95156">
              <w:rPr>
                <w:rFonts w:ascii="Archivo" w:hAnsi="Archivo"/>
                <w:sz w:val="18"/>
                <w:szCs w:val="18"/>
              </w:rPr>
              <w:t xml:space="preserve"> point count or distance methods)</w:t>
            </w:r>
          </w:p>
        </w:tc>
        <w:tc>
          <w:tcPr>
            <w:tcW w:w="1276" w:type="dxa"/>
          </w:tcPr>
          <w:p w14:paraId="41586B09" w14:textId="77777777" w:rsidR="00F31CF4" w:rsidRPr="00A95156" w:rsidRDefault="00F31CF4" w:rsidP="008B130B">
            <w:pPr>
              <w:rPr>
                <w:rFonts w:ascii="Archivo" w:hAnsi="Archivo"/>
                <w:sz w:val="18"/>
                <w:szCs w:val="18"/>
              </w:rPr>
            </w:pPr>
            <w:r w:rsidRPr="00A95156">
              <w:rPr>
                <w:rFonts w:ascii="Archivo" w:hAnsi="Archivo"/>
                <w:sz w:val="18"/>
                <w:szCs w:val="18"/>
              </w:rPr>
              <w:t>All</w:t>
            </w:r>
          </w:p>
        </w:tc>
        <w:tc>
          <w:tcPr>
            <w:tcW w:w="2075" w:type="dxa"/>
          </w:tcPr>
          <w:p w14:paraId="780F0C30" w14:textId="77777777" w:rsidR="00F31CF4" w:rsidRPr="00A95156" w:rsidRDefault="00F31CF4" w:rsidP="008B130B">
            <w:pPr>
              <w:rPr>
                <w:rFonts w:ascii="Archivo" w:hAnsi="Archivo"/>
                <w:sz w:val="18"/>
                <w:szCs w:val="18"/>
              </w:rPr>
            </w:pPr>
            <w:r w:rsidRPr="00A95156">
              <w:rPr>
                <w:rFonts w:ascii="Archivo" w:hAnsi="Archivo"/>
                <w:sz w:val="18"/>
                <w:szCs w:val="18"/>
              </w:rPr>
              <w:t xml:space="preserve">Simple to conduct, provides a baseline assessment only. </w:t>
            </w:r>
          </w:p>
        </w:tc>
      </w:tr>
      <w:tr w:rsidR="00F31CF4" w:rsidRPr="00A95156" w14:paraId="667CD172" w14:textId="77777777" w:rsidTr="00440CA1">
        <w:tc>
          <w:tcPr>
            <w:tcW w:w="1271" w:type="dxa"/>
          </w:tcPr>
          <w:p w14:paraId="4131C392" w14:textId="77777777" w:rsidR="00F31CF4" w:rsidRPr="00A95156" w:rsidRDefault="00F31CF4" w:rsidP="008B130B">
            <w:pPr>
              <w:rPr>
                <w:rFonts w:ascii="Archivo" w:hAnsi="Archivo"/>
                <w:b/>
                <w:bCs/>
                <w:sz w:val="18"/>
                <w:szCs w:val="18"/>
              </w:rPr>
            </w:pPr>
            <w:r w:rsidRPr="00A95156">
              <w:rPr>
                <w:rFonts w:ascii="Archivo" w:hAnsi="Archivo"/>
                <w:b/>
                <w:bCs/>
                <w:sz w:val="18"/>
                <w:szCs w:val="18"/>
              </w:rPr>
              <w:t>Point count</w:t>
            </w:r>
          </w:p>
        </w:tc>
        <w:tc>
          <w:tcPr>
            <w:tcW w:w="4394" w:type="dxa"/>
          </w:tcPr>
          <w:p w14:paraId="09122F2C" w14:textId="47E08C1C" w:rsidR="00F31CF4" w:rsidRPr="00A95156" w:rsidRDefault="00F31CF4" w:rsidP="008779D5">
            <w:pPr>
              <w:rPr>
                <w:rFonts w:ascii="Archivo" w:hAnsi="Archivo"/>
                <w:sz w:val="18"/>
                <w:szCs w:val="18"/>
              </w:rPr>
            </w:pPr>
            <w:r w:rsidRPr="00A95156">
              <w:rPr>
                <w:rFonts w:ascii="Archivo" w:hAnsi="Archivo"/>
                <w:sz w:val="18"/>
                <w:szCs w:val="18"/>
              </w:rPr>
              <w:t>Records birds species and their number at a specified observation area. The observation area is determined as the radius around a specified point (i.e.</w:t>
            </w:r>
            <w:r w:rsidR="008779D5" w:rsidRPr="00A95156">
              <w:rPr>
                <w:rFonts w:ascii="Archivo" w:hAnsi="Archivo"/>
                <w:sz w:val="18"/>
                <w:szCs w:val="18"/>
              </w:rPr>
              <w:t>,</w:t>
            </w:r>
            <w:r w:rsidRPr="00A95156">
              <w:rPr>
                <w:rFonts w:ascii="Archivo" w:hAnsi="Archivo"/>
                <w:sz w:val="18"/>
                <w:szCs w:val="18"/>
              </w:rPr>
              <w:t xml:space="preserve"> 25m-50m). Records birds observed (detected) in a specified time period and place. These detections can be grouped by type of observation i.e.</w:t>
            </w:r>
            <w:r w:rsidR="008779D5" w:rsidRPr="00A95156">
              <w:rPr>
                <w:rFonts w:ascii="Archivo" w:hAnsi="Archivo"/>
                <w:sz w:val="18"/>
                <w:szCs w:val="18"/>
              </w:rPr>
              <w:t>,</w:t>
            </w:r>
            <w:r w:rsidRPr="00A95156">
              <w:rPr>
                <w:rFonts w:ascii="Archivo" w:hAnsi="Archivo"/>
                <w:sz w:val="18"/>
                <w:szCs w:val="18"/>
              </w:rPr>
              <w:t xml:space="preserve"> primary, supplemental, flyover etc.</w:t>
            </w:r>
          </w:p>
          <w:p w14:paraId="6B146859" w14:textId="4B604915" w:rsidR="00F31CF4" w:rsidRPr="00A95156" w:rsidRDefault="00F31CF4" w:rsidP="008779D5">
            <w:pPr>
              <w:rPr>
                <w:rFonts w:ascii="Archivo" w:hAnsi="Archivo"/>
                <w:sz w:val="18"/>
                <w:szCs w:val="18"/>
              </w:rPr>
            </w:pPr>
            <w:r w:rsidRPr="00A95156">
              <w:rPr>
                <w:rFonts w:ascii="Archivo" w:hAnsi="Archivo"/>
                <w:sz w:val="18"/>
                <w:szCs w:val="18"/>
              </w:rPr>
              <w:t>It can be used to estimate the actual population figure, relative abundance, population trend (if carried out periodically by time/ season).</w:t>
            </w:r>
          </w:p>
          <w:p w14:paraId="08F40B0F" w14:textId="77777777" w:rsidR="00F31CF4" w:rsidRPr="00A95156" w:rsidRDefault="00F31CF4" w:rsidP="008B130B">
            <w:pPr>
              <w:rPr>
                <w:rFonts w:ascii="Archivo" w:hAnsi="Archivo"/>
                <w:sz w:val="18"/>
                <w:szCs w:val="18"/>
              </w:rPr>
            </w:pPr>
            <w:r w:rsidRPr="00A95156">
              <w:rPr>
                <w:rFonts w:ascii="Archivo" w:hAnsi="Archivo"/>
                <w:sz w:val="18"/>
                <w:szCs w:val="18"/>
              </w:rPr>
              <w:t>This can be combined with vegetation plots to determine its structure and composition. This information is useful in ecological modelling of bird communities/ habitat associations.</w:t>
            </w:r>
          </w:p>
        </w:tc>
        <w:tc>
          <w:tcPr>
            <w:tcW w:w="1276" w:type="dxa"/>
          </w:tcPr>
          <w:p w14:paraId="1558E125" w14:textId="77777777" w:rsidR="00F31CF4" w:rsidRPr="00A95156" w:rsidRDefault="00F31CF4" w:rsidP="008B130B">
            <w:pPr>
              <w:rPr>
                <w:rFonts w:ascii="Archivo" w:hAnsi="Archivo"/>
                <w:sz w:val="18"/>
                <w:szCs w:val="18"/>
              </w:rPr>
            </w:pPr>
            <w:r w:rsidRPr="00A95156">
              <w:rPr>
                <w:rFonts w:ascii="Archivo" w:hAnsi="Archivo"/>
                <w:sz w:val="18"/>
                <w:szCs w:val="18"/>
              </w:rPr>
              <w:t xml:space="preserve">Suitable for high vegetation cover ecosystems </w:t>
            </w:r>
            <w:proofErr w:type="gramStart"/>
            <w:r w:rsidRPr="00A95156">
              <w:rPr>
                <w:rFonts w:ascii="Archivo" w:hAnsi="Archivo"/>
                <w:sz w:val="18"/>
                <w:szCs w:val="18"/>
              </w:rPr>
              <w:t>i.e.</w:t>
            </w:r>
            <w:proofErr w:type="gramEnd"/>
            <w:r w:rsidRPr="00A95156">
              <w:rPr>
                <w:rFonts w:ascii="Archivo" w:hAnsi="Archivo"/>
                <w:sz w:val="18"/>
                <w:szCs w:val="18"/>
              </w:rPr>
              <w:t xml:space="preserve"> forest/ uneven ground</w:t>
            </w:r>
          </w:p>
        </w:tc>
        <w:tc>
          <w:tcPr>
            <w:tcW w:w="2075" w:type="dxa"/>
          </w:tcPr>
          <w:p w14:paraId="0DC1FFBE" w14:textId="77777777" w:rsidR="00F31CF4" w:rsidRPr="00A95156" w:rsidRDefault="00F31CF4" w:rsidP="008B130B">
            <w:pPr>
              <w:rPr>
                <w:rFonts w:ascii="Archivo" w:hAnsi="Archivo"/>
                <w:sz w:val="18"/>
                <w:szCs w:val="18"/>
              </w:rPr>
            </w:pPr>
            <w:r w:rsidRPr="00A95156">
              <w:rPr>
                <w:rFonts w:ascii="Archivo" w:hAnsi="Archivo"/>
                <w:sz w:val="18"/>
                <w:szCs w:val="18"/>
              </w:rPr>
              <w:t xml:space="preserve">This can be performed randomly or systematically </w:t>
            </w:r>
            <w:proofErr w:type="gramStart"/>
            <w:r w:rsidRPr="00A95156">
              <w:rPr>
                <w:rFonts w:ascii="Archivo" w:hAnsi="Archivo"/>
                <w:sz w:val="18"/>
                <w:szCs w:val="18"/>
              </w:rPr>
              <w:t>i.e.</w:t>
            </w:r>
            <w:proofErr w:type="gramEnd"/>
            <w:r w:rsidRPr="00A95156">
              <w:rPr>
                <w:rFonts w:ascii="Archivo" w:hAnsi="Archivo"/>
                <w:sz w:val="18"/>
                <w:szCs w:val="18"/>
              </w:rPr>
              <w:t xml:space="preserve"> according to a pre-determined system. Error rate can be higher than other methods given the potential for double-counting and errors in estimating distance. </w:t>
            </w:r>
          </w:p>
        </w:tc>
      </w:tr>
      <w:tr w:rsidR="00F31CF4" w:rsidRPr="00A95156" w14:paraId="2C65E350" w14:textId="77777777" w:rsidTr="00440CA1">
        <w:tc>
          <w:tcPr>
            <w:tcW w:w="1271" w:type="dxa"/>
          </w:tcPr>
          <w:p w14:paraId="5D7BEFCF" w14:textId="77777777" w:rsidR="00F31CF4" w:rsidRPr="00A95156" w:rsidRDefault="00F31CF4" w:rsidP="008B130B">
            <w:pPr>
              <w:rPr>
                <w:rFonts w:ascii="Archivo" w:hAnsi="Archivo"/>
                <w:b/>
                <w:bCs/>
                <w:sz w:val="18"/>
                <w:szCs w:val="18"/>
              </w:rPr>
            </w:pPr>
            <w:r w:rsidRPr="00A95156">
              <w:rPr>
                <w:rFonts w:ascii="Archivo" w:hAnsi="Archivo"/>
                <w:b/>
                <w:bCs/>
                <w:sz w:val="18"/>
                <w:szCs w:val="18"/>
              </w:rPr>
              <w:t>Line transect Distance sampling/ Point count distance sampling</w:t>
            </w:r>
          </w:p>
        </w:tc>
        <w:tc>
          <w:tcPr>
            <w:tcW w:w="4394" w:type="dxa"/>
          </w:tcPr>
          <w:p w14:paraId="34F96E60" w14:textId="0C6BF414" w:rsidR="00F31CF4" w:rsidRPr="00A95156" w:rsidRDefault="00F31CF4" w:rsidP="008779D5">
            <w:pPr>
              <w:rPr>
                <w:rFonts w:ascii="Archivo" w:hAnsi="Archivo"/>
                <w:sz w:val="18"/>
                <w:szCs w:val="18"/>
              </w:rPr>
            </w:pPr>
            <w:r w:rsidRPr="00A95156">
              <w:rPr>
                <w:rFonts w:ascii="Archivo" w:hAnsi="Archivo"/>
                <w:sz w:val="18"/>
                <w:szCs w:val="18"/>
              </w:rPr>
              <w:t xml:space="preserve">Line surveys are conducted by walking continuously along a predetermined route recording species observed (seen/ heard) either side of the path. </w:t>
            </w:r>
          </w:p>
          <w:p w14:paraId="600C15F1" w14:textId="77777777" w:rsidR="00F31CF4" w:rsidRPr="00A95156" w:rsidRDefault="00F31CF4" w:rsidP="008B130B">
            <w:pPr>
              <w:rPr>
                <w:rFonts w:ascii="Archivo" w:hAnsi="Archivo"/>
                <w:sz w:val="18"/>
                <w:szCs w:val="18"/>
              </w:rPr>
            </w:pPr>
            <w:r w:rsidRPr="00A95156">
              <w:rPr>
                <w:rFonts w:ascii="Archivo" w:hAnsi="Archivo"/>
                <w:sz w:val="18"/>
                <w:szCs w:val="18"/>
              </w:rPr>
              <w:t>It is used to estimate abundance and density of birds in a location.</w:t>
            </w:r>
          </w:p>
        </w:tc>
        <w:tc>
          <w:tcPr>
            <w:tcW w:w="1276" w:type="dxa"/>
          </w:tcPr>
          <w:p w14:paraId="4AB299D0" w14:textId="77777777" w:rsidR="00F31CF4" w:rsidRPr="00A95156" w:rsidRDefault="00F31CF4" w:rsidP="008B130B">
            <w:pPr>
              <w:rPr>
                <w:rFonts w:ascii="Archivo" w:hAnsi="Archivo"/>
                <w:sz w:val="18"/>
                <w:szCs w:val="18"/>
              </w:rPr>
            </w:pPr>
            <w:r w:rsidRPr="00A95156">
              <w:rPr>
                <w:rFonts w:ascii="Archivo" w:hAnsi="Archivo"/>
                <w:sz w:val="18"/>
                <w:szCs w:val="18"/>
              </w:rPr>
              <w:t>Limited to ecosystems in which a relatively accessible pathway can be established, so is less suitable for dense vegetation/ undulating landscapes.</w:t>
            </w:r>
          </w:p>
        </w:tc>
        <w:tc>
          <w:tcPr>
            <w:tcW w:w="2075" w:type="dxa"/>
          </w:tcPr>
          <w:p w14:paraId="40C3A38B" w14:textId="77777777" w:rsidR="00F31CF4" w:rsidRPr="00A95156" w:rsidRDefault="00F31CF4" w:rsidP="008B130B">
            <w:pPr>
              <w:rPr>
                <w:rFonts w:ascii="Archivo" w:hAnsi="Archivo"/>
                <w:sz w:val="18"/>
                <w:szCs w:val="18"/>
              </w:rPr>
            </w:pPr>
            <w:r w:rsidRPr="00A95156">
              <w:rPr>
                <w:rFonts w:ascii="Archivo" w:hAnsi="Archivo"/>
                <w:sz w:val="18"/>
                <w:szCs w:val="18"/>
              </w:rPr>
              <w:t xml:space="preserve">It is a relatively fast method for covering a survey area, and has a lower error rate than a point survey. Drawbacks </w:t>
            </w:r>
            <w:proofErr w:type="gramStart"/>
            <w:r w:rsidRPr="00A95156">
              <w:rPr>
                <w:rFonts w:ascii="Archivo" w:hAnsi="Archivo"/>
                <w:sz w:val="18"/>
                <w:szCs w:val="18"/>
              </w:rPr>
              <w:t>include,</w:t>
            </w:r>
            <w:proofErr w:type="gramEnd"/>
            <w:r w:rsidRPr="00A95156">
              <w:rPr>
                <w:rFonts w:ascii="Archivo" w:hAnsi="Archivo"/>
                <w:sz w:val="18"/>
                <w:szCs w:val="18"/>
              </w:rPr>
              <w:t xml:space="preserve"> difficulties in assessing distance between the observer and bird, which is important for estimating density, and potential for birds to take flight on the observers approach. </w:t>
            </w:r>
          </w:p>
        </w:tc>
      </w:tr>
      <w:tr w:rsidR="00F31CF4" w:rsidRPr="00A95156" w14:paraId="766A4A89" w14:textId="77777777" w:rsidTr="00440CA1">
        <w:tc>
          <w:tcPr>
            <w:tcW w:w="1271" w:type="dxa"/>
          </w:tcPr>
          <w:p w14:paraId="5BCE4968" w14:textId="77777777" w:rsidR="00F31CF4" w:rsidRPr="00A95156" w:rsidRDefault="00F31CF4" w:rsidP="008B130B">
            <w:pPr>
              <w:rPr>
                <w:rFonts w:ascii="Archivo" w:hAnsi="Archivo"/>
                <w:b/>
                <w:bCs/>
                <w:sz w:val="18"/>
                <w:szCs w:val="18"/>
              </w:rPr>
            </w:pPr>
            <w:r w:rsidRPr="00A95156">
              <w:rPr>
                <w:rFonts w:ascii="Archivo" w:hAnsi="Archivo"/>
                <w:b/>
                <w:bCs/>
                <w:sz w:val="18"/>
                <w:szCs w:val="18"/>
              </w:rPr>
              <w:t>Trade monitoring survey</w:t>
            </w:r>
          </w:p>
        </w:tc>
        <w:tc>
          <w:tcPr>
            <w:tcW w:w="4394" w:type="dxa"/>
          </w:tcPr>
          <w:p w14:paraId="042B70CF" w14:textId="247F57F1" w:rsidR="00F31CF4" w:rsidRPr="00A95156" w:rsidRDefault="00F31CF4" w:rsidP="008779D5">
            <w:pPr>
              <w:rPr>
                <w:rFonts w:ascii="Archivo" w:hAnsi="Archivo"/>
                <w:sz w:val="18"/>
                <w:szCs w:val="18"/>
              </w:rPr>
            </w:pPr>
            <w:r w:rsidRPr="00A95156">
              <w:rPr>
                <w:rFonts w:ascii="Archivo" w:hAnsi="Archivo"/>
                <w:sz w:val="18"/>
                <w:szCs w:val="18"/>
              </w:rPr>
              <w:t xml:space="preserve">Based on the circulation of birds in the trade, population values are measured on the number of birds harvested from the wild and available for sale.  </w:t>
            </w:r>
          </w:p>
          <w:p w14:paraId="11936CF3" w14:textId="77777777" w:rsidR="00F31CF4" w:rsidRPr="00A95156" w:rsidRDefault="00F31CF4" w:rsidP="008B130B">
            <w:pPr>
              <w:rPr>
                <w:rFonts w:ascii="Archivo" w:hAnsi="Archivo"/>
                <w:sz w:val="18"/>
                <w:szCs w:val="18"/>
              </w:rPr>
            </w:pPr>
            <w:r w:rsidRPr="00A95156">
              <w:rPr>
                <w:rFonts w:ascii="Archivo" w:hAnsi="Archivo"/>
                <w:sz w:val="18"/>
                <w:szCs w:val="18"/>
              </w:rPr>
              <w:t xml:space="preserve">If birds are frequently recorded in the </w:t>
            </w:r>
            <w:proofErr w:type="gramStart"/>
            <w:r w:rsidRPr="00A95156">
              <w:rPr>
                <w:rFonts w:ascii="Archivo" w:hAnsi="Archivo"/>
                <w:sz w:val="18"/>
                <w:szCs w:val="18"/>
              </w:rPr>
              <w:t>surveys</w:t>
            </w:r>
            <w:proofErr w:type="gramEnd"/>
            <w:r w:rsidRPr="00A95156">
              <w:rPr>
                <w:rFonts w:ascii="Archivo" w:hAnsi="Archivo"/>
                <w:sz w:val="18"/>
                <w:szCs w:val="18"/>
              </w:rPr>
              <w:t xml:space="preserve"> then the assumption is the species population is still within its carrying capacity, if supply declines then it can be inferred the population is in decline in the wild. Though there a number of factors which can </w:t>
            </w:r>
            <w:proofErr w:type="gramStart"/>
            <w:r w:rsidRPr="00A95156">
              <w:rPr>
                <w:rFonts w:ascii="Archivo" w:hAnsi="Archivo"/>
                <w:sz w:val="18"/>
                <w:szCs w:val="18"/>
              </w:rPr>
              <w:t>effect</w:t>
            </w:r>
            <w:proofErr w:type="gramEnd"/>
            <w:r w:rsidRPr="00A95156">
              <w:rPr>
                <w:rStyle w:val="FootnoteReference"/>
                <w:rFonts w:ascii="Archivo" w:hAnsi="Archivo"/>
                <w:sz w:val="18"/>
                <w:szCs w:val="18"/>
              </w:rPr>
              <w:footnoteReference w:id="47"/>
            </w:r>
            <w:r w:rsidRPr="00A95156">
              <w:rPr>
                <w:rFonts w:ascii="Archivo" w:hAnsi="Archivo"/>
                <w:sz w:val="18"/>
                <w:szCs w:val="18"/>
              </w:rPr>
              <w:t xml:space="preserve">  </w:t>
            </w:r>
          </w:p>
        </w:tc>
        <w:tc>
          <w:tcPr>
            <w:tcW w:w="1276" w:type="dxa"/>
          </w:tcPr>
          <w:p w14:paraId="5FC75F25" w14:textId="77777777" w:rsidR="00F31CF4" w:rsidRPr="00A95156" w:rsidRDefault="00F31CF4" w:rsidP="008B130B">
            <w:pPr>
              <w:rPr>
                <w:rFonts w:ascii="Archivo" w:hAnsi="Archivo"/>
                <w:sz w:val="18"/>
                <w:szCs w:val="18"/>
              </w:rPr>
            </w:pPr>
            <w:r w:rsidRPr="00A95156">
              <w:rPr>
                <w:rFonts w:ascii="Archivo" w:hAnsi="Archivo"/>
                <w:sz w:val="18"/>
                <w:szCs w:val="18"/>
              </w:rPr>
              <w:t>Markets</w:t>
            </w:r>
          </w:p>
        </w:tc>
        <w:tc>
          <w:tcPr>
            <w:tcW w:w="2075" w:type="dxa"/>
          </w:tcPr>
          <w:p w14:paraId="7E9A0978" w14:textId="77777777" w:rsidR="00F31CF4" w:rsidRPr="00A95156" w:rsidRDefault="00F31CF4" w:rsidP="008B130B">
            <w:pPr>
              <w:rPr>
                <w:rFonts w:ascii="Archivo" w:hAnsi="Archivo"/>
                <w:sz w:val="18"/>
                <w:szCs w:val="18"/>
              </w:rPr>
            </w:pPr>
            <w:r w:rsidRPr="00A95156">
              <w:rPr>
                <w:rFonts w:ascii="Archivo" w:hAnsi="Archivo"/>
                <w:sz w:val="18"/>
                <w:szCs w:val="18"/>
              </w:rPr>
              <w:t>As an indirect method it is less accurate than direct observation methods because it relies on trade dynamics (</w:t>
            </w:r>
            <w:proofErr w:type="gramStart"/>
            <w:r w:rsidRPr="00A95156">
              <w:rPr>
                <w:rFonts w:ascii="Archivo" w:hAnsi="Archivo"/>
                <w:sz w:val="18"/>
                <w:szCs w:val="18"/>
              </w:rPr>
              <w:t>i.e.</w:t>
            </w:r>
            <w:proofErr w:type="gramEnd"/>
            <w:r w:rsidRPr="00A95156">
              <w:rPr>
                <w:rFonts w:ascii="Archivo" w:hAnsi="Archivo"/>
                <w:sz w:val="18"/>
                <w:szCs w:val="18"/>
              </w:rPr>
              <w:t xml:space="preserve"> value and trapper effort)</w:t>
            </w:r>
          </w:p>
        </w:tc>
      </w:tr>
    </w:tbl>
    <w:p w14:paraId="35D8393C" w14:textId="77777777" w:rsidR="00D054CE" w:rsidRPr="00C947F0" w:rsidRDefault="00D054CE" w:rsidP="00440CA1">
      <w:pPr>
        <w:rPr>
          <w:rFonts w:ascii="Archivo" w:hAnsi="Archivo"/>
          <w:sz w:val="20"/>
          <w:szCs w:val="20"/>
        </w:rPr>
      </w:pPr>
    </w:p>
    <w:sectPr w:rsidR="00D054CE" w:rsidRPr="00C947F0" w:rsidSect="009F4650">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1C62" w14:textId="77777777" w:rsidR="005773BD" w:rsidRDefault="005773BD" w:rsidP="00F31CF4">
      <w:pPr>
        <w:spacing w:after="0" w:line="240" w:lineRule="auto"/>
      </w:pPr>
      <w:r>
        <w:separator/>
      </w:r>
    </w:p>
  </w:endnote>
  <w:endnote w:type="continuationSeparator" w:id="0">
    <w:p w14:paraId="54CE7760" w14:textId="77777777" w:rsidR="005773BD" w:rsidRDefault="005773BD" w:rsidP="00F31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vo">
    <w:altName w:val="Calibri"/>
    <w:panose1 w:val="00000000000000000000"/>
    <w:charset w:val="00"/>
    <w:family w:val="auto"/>
    <w:pitch w:val="variable"/>
    <w:sig w:usb0="A00000FF" w:usb1="500020EB" w:usb2="00000008"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5C9B" w14:textId="30662734" w:rsidR="00805602" w:rsidRPr="00C947F0" w:rsidRDefault="005E2D5A" w:rsidP="00805602">
    <w:pPr>
      <w:pStyle w:val="Footer"/>
      <w:ind w:right="360"/>
      <w:jc w:val="center"/>
      <w:rPr>
        <w:rFonts w:ascii="Archivo" w:hAnsi="Archivo"/>
        <w:sz w:val="20"/>
        <w:szCs w:val="20"/>
      </w:rPr>
    </w:pPr>
    <w:r>
      <w:rPr>
        <w:rFonts w:ascii="Archivo" w:hAnsi="Archivo"/>
        <w:sz w:val="20"/>
        <w:szCs w:val="20"/>
      </w:rPr>
      <w:t>DRAFT</w:t>
    </w:r>
    <w:r w:rsidR="009F4650">
      <w:rPr>
        <w:rFonts w:ascii="Archivo" w:hAnsi="Archivo"/>
        <w:sz w:val="20"/>
        <w:szCs w:val="20"/>
      </w:rPr>
      <w:t xml:space="preserve"> </w:t>
    </w:r>
    <w:r w:rsidR="00805602" w:rsidRPr="00C947F0">
      <w:rPr>
        <w:rFonts w:ascii="Archivo" w:hAnsi="Archivo"/>
        <w:sz w:val="20"/>
        <w:szCs w:val="20"/>
      </w:rPr>
      <w:t xml:space="preserve">Module </w:t>
    </w:r>
    <w:r w:rsidR="00284851">
      <w:rPr>
        <w:rFonts w:ascii="Archivo" w:hAnsi="Archivo"/>
        <w:sz w:val="20"/>
        <w:szCs w:val="20"/>
      </w:rPr>
      <w:t>8</w:t>
    </w:r>
    <w:r w:rsidR="00805602" w:rsidRPr="00C947F0">
      <w:rPr>
        <w:rFonts w:ascii="Archivo" w:hAnsi="Archivo"/>
        <w:sz w:val="20"/>
        <w:szCs w:val="20"/>
      </w:rPr>
      <w:t xml:space="preserve"> – Birds</w:t>
    </w:r>
  </w:p>
  <w:p w14:paraId="6B878218" w14:textId="77777777" w:rsidR="00805602" w:rsidRPr="00C947F0" w:rsidRDefault="00805602" w:rsidP="00805602">
    <w:pPr>
      <w:pStyle w:val="Footer"/>
      <w:ind w:right="360"/>
      <w:jc w:val="center"/>
      <w:rPr>
        <w:rFonts w:ascii="Archivo" w:hAnsi="Archivo"/>
        <w:sz w:val="20"/>
        <w:szCs w:val="20"/>
      </w:rPr>
    </w:pPr>
    <w:r w:rsidRPr="00C947F0">
      <w:rPr>
        <w:rStyle w:val="PageNumber"/>
        <w:rFonts w:ascii="Archivo" w:hAnsi="Archivo" w:cs="Arial"/>
        <w:szCs w:val="20"/>
      </w:rPr>
      <w:t xml:space="preserve">– </w:t>
    </w:r>
    <w:r w:rsidRPr="00C947F0">
      <w:rPr>
        <w:rStyle w:val="PageNumber"/>
        <w:rFonts w:ascii="Archivo" w:hAnsi="Archivo" w:cs="Arial"/>
        <w:szCs w:val="20"/>
      </w:rPr>
      <w:fldChar w:fldCharType="begin"/>
    </w:r>
    <w:r w:rsidRPr="00C947F0">
      <w:rPr>
        <w:rStyle w:val="PageNumber"/>
        <w:rFonts w:ascii="Archivo" w:hAnsi="Archivo" w:cs="Arial"/>
        <w:szCs w:val="20"/>
      </w:rPr>
      <w:instrText xml:space="preserve"> PAGE </w:instrText>
    </w:r>
    <w:r w:rsidRPr="00C947F0">
      <w:rPr>
        <w:rStyle w:val="PageNumber"/>
        <w:rFonts w:ascii="Archivo" w:hAnsi="Archivo" w:cs="Arial"/>
        <w:szCs w:val="20"/>
      </w:rPr>
      <w:fldChar w:fldCharType="separate"/>
    </w:r>
    <w:r w:rsidRPr="00C947F0">
      <w:rPr>
        <w:rStyle w:val="PageNumber"/>
        <w:rFonts w:ascii="Archivo" w:hAnsi="Archivo" w:cs="Arial"/>
        <w:szCs w:val="20"/>
      </w:rPr>
      <w:t>1</w:t>
    </w:r>
    <w:r w:rsidRPr="00C947F0">
      <w:rPr>
        <w:rStyle w:val="PageNumber"/>
        <w:rFonts w:ascii="Archivo" w:hAnsi="Archivo" w:cs="Arial"/>
        <w:szCs w:val="20"/>
      </w:rPr>
      <w:fldChar w:fldCharType="end"/>
    </w:r>
    <w:r w:rsidRPr="00C947F0">
      <w:rPr>
        <w:rStyle w:val="PageNumber"/>
        <w:rFonts w:ascii="Archivo" w:hAnsi="Archivo" w:cs="Arial"/>
        <w:szCs w:val="20"/>
      </w:rPr>
      <w:t xml:space="preserve"> –</w:t>
    </w:r>
  </w:p>
  <w:p w14:paraId="7DBF79F6" w14:textId="77777777" w:rsidR="00805602" w:rsidRDefault="00805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61FC" w14:textId="46740F56" w:rsidR="009F4650" w:rsidRPr="00C947F0" w:rsidRDefault="005E2D5A" w:rsidP="009F4650">
    <w:pPr>
      <w:pStyle w:val="Footer"/>
      <w:ind w:right="360"/>
      <w:jc w:val="center"/>
      <w:rPr>
        <w:rFonts w:ascii="Archivo" w:hAnsi="Archivo"/>
        <w:sz w:val="20"/>
        <w:szCs w:val="20"/>
      </w:rPr>
    </w:pPr>
    <w:r>
      <w:rPr>
        <w:rFonts w:ascii="Archivo" w:hAnsi="Archivo"/>
        <w:sz w:val="20"/>
        <w:szCs w:val="20"/>
      </w:rPr>
      <w:t>DRAFT</w:t>
    </w:r>
    <w:r w:rsidR="009F4650">
      <w:rPr>
        <w:rFonts w:ascii="Archivo" w:hAnsi="Archivo"/>
        <w:sz w:val="20"/>
        <w:szCs w:val="20"/>
      </w:rPr>
      <w:t xml:space="preserve"> </w:t>
    </w:r>
    <w:r w:rsidR="009F4650" w:rsidRPr="00C947F0">
      <w:rPr>
        <w:rFonts w:ascii="Archivo" w:hAnsi="Archivo"/>
        <w:sz w:val="20"/>
        <w:szCs w:val="20"/>
      </w:rPr>
      <w:t xml:space="preserve">Module </w:t>
    </w:r>
    <w:r w:rsidR="009F4650">
      <w:rPr>
        <w:rFonts w:ascii="Archivo" w:hAnsi="Archivo"/>
        <w:sz w:val="20"/>
        <w:szCs w:val="20"/>
      </w:rPr>
      <w:t>8</w:t>
    </w:r>
    <w:r w:rsidR="009F4650" w:rsidRPr="00C947F0">
      <w:rPr>
        <w:rFonts w:ascii="Archivo" w:hAnsi="Archivo"/>
        <w:sz w:val="20"/>
        <w:szCs w:val="20"/>
      </w:rPr>
      <w:t xml:space="preserve"> – Birds</w:t>
    </w:r>
  </w:p>
  <w:p w14:paraId="75EC558D" w14:textId="166F50B6" w:rsidR="009F4650" w:rsidRPr="009F4650" w:rsidRDefault="009F4650" w:rsidP="009F4650">
    <w:pPr>
      <w:pStyle w:val="Footer"/>
      <w:ind w:right="360"/>
      <w:jc w:val="center"/>
      <w:rPr>
        <w:rFonts w:ascii="Archivo" w:hAnsi="Archivo"/>
        <w:sz w:val="20"/>
        <w:szCs w:val="20"/>
      </w:rPr>
    </w:pPr>
    <w:r w:rsidRPr="00C947F0">
      <w:rPr>
        <w:rStyle w:val="PageNumber"/>
        <w:rFonts w:ascii="Archivo" w:hAnsi="Archivo" w:cs="Arial"/>
        <w:szCs w:val="20"/>
      </w:rPr>
      <w:t xml:space="preserve">– </w:t>
    </w:r>
    <w:r w:rsidRPr="00C947F0">
      <w:rPr>
        <w:rStyle w:val="PageNumber"/>
        <w:rFonts w:ascii="Archivo" w:hAnsi="Archivo" w:cs="Arial"/>
        <w:szCs w:val="20"/>
      </w:rPr>
      <w:fldChar w:fldCharType="begin"/>
    </w:r>
    <w:r w:rsidRPr="00C947F0">
      <w:rPr>
        <w:rStyle w:val="PageNumber"/>
        <w:rFonts w:ascii="Archivo" w:hAnsi="Archivo" w:cs="Arial"/>
        <w:szCs w:val="20"/>
      </w:rPr>
      <w:instrText xml:space="preserve"> PAGE </w:instrText>
    </w:r>
    <w:r w:rsidRPr="00C947F0">
      <w:rPr>
        <w:rStyle w:val="PageNumber"/>
        <w:rFonts w:ascii="Archivo" w:hAnsi="Archivo" w:cs="Arial"/>
        <w:szCs w:val="20"/>
      </w:rPr>
      <w:fldChar w:fldCharType="separate"/>
    </w:r>
    <w:r>
      <w:rPr>
        <w:rStyle w:val="PageNumber"/>
        <w:rFonts w:ascii="Archivo" w:hAnsi="Archivo" w:cs="Arial"/>
        <w:szCs w:val="20"/>
      </w:rPr>
      <w:t>2</w:t>
    </w:r>
    <w:r w:rsidRPr="00C947F0">
      <w:rPr>
        <w:rStyle w:val="PageNumber"/>
        <w:rFonts w:ascii="Archivo" w:hAnsi="Archivo" w:cs="Arial"/>
        <w:szCs w:val="20"/>
      </w:rPr>
      <w:fldChar w:fldCharType="end"/>
    </w:r>
    <w:r w:rsidRPr="00C947F0">
      <w:rPr>
        <w:rStyle w:val="PageNumber"/>
        <w:rFonts w:ascii="Archivo" w:hAnsi="Archivo" w:cs="Arial"/>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BF504" w14:textId="77777777" w:rsidR="005773BD" w:rsidRDefault="005773BD" w:rsidP="00F31CF4">
      <w:pPr>
        <w:spacing w:after="0" w:line="240" w:lineRule="auto"/>
      </w:pPr>
      <w:r>
        <w:separator/>
      </w:r>
    </w:p>
  </w:footnote>
  <w:footnote w:type="continuationSeparator" w:id="0">
    <w:p w14:paraId="5F8B87FB" w14:textId="77777777" w:rsidR="005773BD" w:rsidRDefault="005773BD" w:rsidP="00F31CF4">
      <w:pPr>
        <w:spacing w:after="0" w:line="240" w:lineRule="auto"/>
      </w:pPr>
      <w:r>
        <w:continuationSeparator/>
      </w:r>
    </w:p>
  </w:footnote>
  <w:footnote w:id="1">
    <w:p w14:paraId="76AA1DCB"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To note, in the CITES nomenclature these species are listed under the Apodiformes, though have recently been reclassified taxonomically as the Caprimulgiformes.   </w:t>
      </w:r>
    </w:p>
  </w:footnote>
  <w:footnote w:id="2">
    <w:p w14:paraId="7745FA44"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CITES trade </w:t>
      </w:r>
      <w:proofErr w:type="gramStart"/>
      <w:r w:rsidRPr="003D13AB">
        <w:rPr>
          <w:rFonts w:ascii="Archivo" w:hAnsi="Archivo" w:cs="Archivo"/>
          <w:sz w:val="16"/>
          <w:szCs w:val="16"/>
        </w:rPr>
        <w:t>database</w:t>
      </w:r>
      <w:proofErr w:type="gramEnd"/>
    </w:p>
  </w:footnote>
  <w:footnote w:id="3">
    <w:p w14:paraId="2DACFB2C" w14:textId="35F10D7C"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The source codes which are exempt are, ‘I’ which refers to specimens confiscated or seized, </w:t>
      </w:r>
      <w:proofErr w:type="gramStart"/>
      <w:r w:rsidRPr="003D13AB">
        <w:rPr>
          <w:rFonts w:ascii="Archivo" w:hAnsi="Archivo" w:cs="Archivo"/>
          <w:sz w:val="16"/>
          <w:szCs w:val="16"/>
        </w:rPr>
        <w:t>and,</w:t>
      </w:r>
      <w:proofErr w:type="gramEnd"/>
      <w:r w:rsidRPr="003D13AB">
        <w:rPr>
          <w:rFonts w:ascii="Archivo" w:hAnsi="Archivo" w:cs="Archivo"/>
          <w:sz w:val="16"/>
          <w:szCs w:val="16"/>
        </w:rPr>
        <w:t xml:space="preserve"> ‘O’ which refers to pre-convention specimens. For further detail on source codes </w:t>
      </w:r>
      <w:r w:rsidRPr="003D13AB">
        <w:rPr>
          <w:rFonts w:ascii="Archivo" w:hAnsi="Archivo" w:cs="Archivo"/>
          <w:sz w:val="16"/>
          <w:szCs w:val="16"/>
          <w:highlight w:val="yellow"/>
        </w:rPr>
        <w:t xml:space="preserve">see </w:t>
      </w:r>
      <w:r w:rsidR="00DB2B01" w:rsidRPr="003D13AB">
        <w:rPr>
          <w:rFonts w:ascii="Archivo" w:hAnsi="Archivo" w:cs="Archivo"/>
          <w:sz w:val="16"/>
          <w:szCs w:val="16"/>
          <w:highlight w:val="yellow"/>
        </w:rPr>
        <w:t>Module 2</w:t>
      </w:r>
      <w:r w:rsidRPr="003D13AB">
        <w:rPr>
          <w:rStyle w:val="FootnoteReference"/>
          <w:rFonts w:ascii="Archivo" w:hAnsi="Archivo" w:cs="Archivo"/>
          <w:sz w:val="16"/>
          <w:szCs w:val="16"/>
          <w:highlight w:val="yellow"/>
        </w:rPr>
        <w:footnoteRef/>
      </w:r>
      <w:r w:rsidR="00DB2B01" w:rsidRPr="003D13AB">
        <w:rPr>
          <w:rFonts w:ascii="Archivo" w:hAnsi="Archivo" w:cs="Archivo"/>
          <w:sz w:val="16"/>
          <w:szCs w:val="16"/>
          <w:highlight w:val="yellow"/>
        </w:rPr>
        <w:t xml:space="preserve"> on </w:t>
      </w:r>
      <w:r w:rsidRPr="003D13AB">
        <w:rPr>
          <w:rFonts w:ascii="Archivo" w:hAnsi="Archivo" w:cs="Archivo"/>
          <w:sz w:val="16"/>
          <w:szCs w:val="16"/>
          <w:highlight w:val="yellow"/>
        </w:rPr>
        <w:t>NDFs by source code</w:t>
      </w:r>
      <w:r w:rsidRPr="003D13AB">
        <w:rPr>
          <w:rFonts w:ascii="Archivo" w:hAnsi="Archivo" w:cs="Archivo"/>
          <w:sz w:val="16"/>
          <w:szCs w:val="16"/>
        </w:rPr>
        <w:t>).</w:t>
      </w:r>
    </w:p>
  </w:footnote>
  <w:footnote w:id="4">
    <w:p w14:paraId="602C8EC4"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Cites trade database </w:t>
      </w:r>
      <w:proofErr w:type="gramStart"/>
      <w:r w:rsidRPr="003D13AB">
        <w:rPr>
          <w:rFonts w:ascii="Archivo" w:hAnsi="Archivo" w:cs="Archivo"/>
          <w:sz w:val="16"/>
          <w:szCs w:val="16"/>
        </w:rPr>
        <w:t>ref</w:t>
      </w:r>
      <w:proofErr w:type="gramEnd"/>
    </w:p>
  </w:footnote>
  <w:footnote w:id="5">
    <w:p w14:paraId="286DCF7E"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Checklist reference</w:t>
      </w:r>
    </w:p>
  </w:footnote>
  <w:footnote w:id="6">
    <w:p w14:paraId="17BDE9E5"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Birds of the World (</w:t>
      </w:r>
      <w:hyperlink r:id="rId1" w:history="1">
        <w:r w:rsidRPr="003D13AB">
          <w:rPr>
            <w:rStyle w:val="Hyperlink"/>
            <w:rFonts w:ascii="Archivo" w:hAnsi="Archivo" w:cs="Archivo"/>
            <w:sz w:val="16"/>
            <w:szCs w:val="16"/>
          </w:rPr>
          <w:t>https://birdsoftheworld.org/</w:t>
        </w:r>
      </w:hyperlink>
      <w:r w:rsidRPr="003D13AB">
        <w:rPr>
          <w:rFonts w:ascii="Archivo" w:hAnsi="Archivo" w:cs="Archivo"/>
          <w:color w:val="0000FF"/>
          <w:sz w:val="16"/>
          <w:szCs w:val="16"/>
          <w:u w:val="single"/>
        </w:rPr>
        <w:t xml:space="preserve">). </w:t>
      </w:r>
    </w:p>
  </w:footnote>
  <w:footnote w:id="7">
    <w:p w14:paraId="6BC2B6DA"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w:t>
      </w:r>
      <w:r w:rsidRPr="003D13AB">
        <w:rPr>
          <w:rFonts w:ascii="Archivo" w:hAnsi="Archivo" w:cs="Archivo"/>
          <w:color w:val="0000FF"/>
          <w:sz w:val="16"/>
          <w:szCs w:val="16"/>
          <w:u w:val="single"/>
        </w:rPr>
        <w:t xml:space="preserve">Noting that there may be differences in the nomenclature used across these resources.  </w:t>
      </w:r>
    </w:p>
  </w:footnote>
  <w:footnote w:id="8">
    <w:p w14:paraId="27EDC009"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w:t>
      </w:r>
      <w:proofErr w:type="spellStart"/>
      <w:r w:rsidRPr="003D13AB">
        <w:rPr>
          <w:rFonts w:ascii="Archivo" w:hAnsi="Archivo" w:cs="Archivo"/>
          <w:sz w:val="16"/>
          <w:szCs w:val="16"/>
        </w:rPr>
        <w:t>BirdLife</w:t>
      </w:r>
      <w:proofErr w:type="spellEnd"/>
      <w:r w:rsidRPr="003D13AB">
        <w:rPr>
          <w:rFonts w:ascii="Archivo" w:hAnsi="Archivo" w:cs="Archivo"/>
          <w:sz w:val="16"/>
          <w:szCs w:val="16"/>
        </w:rPr>
        <w:t xml:space="preserve"> </w:t>
      </w:r>
      <w:proofErr w:type="spellStart"/>
      <w:r w:rsidRPr="003D13AB">
        <w:rPr>
          <w:rFonts w:ascii="Archivo" w:hAnsi="Archivo" w:cs="Archivo"/>
          <w:sz w:val="16"/>
          <w:szCs w:val="16"/>
        </w:rPr>
        <w:t>datazone</w:t>
      </w:r>
      <w:proofErr w:type="spellEnd"/>
      <w:r w:rsidRPr="003D13AB">
        <w:rPr>
          <w:rFonts w:ascii="Archivo" w:hAnsi="Archivo" w:cs="Archivo"/>
          <w:sz w:val="16"/>
          <w:szCs w:val="16"/>
        </w:rPr>
        <w:t xml:space="preserve"> reference</w:t>
      </w:r>
    </w:p>
  </w:footnote>
  <w:footnote w:id="9">
    <w:p w14:paraId="66ECD00A" w14:textId="58A78109"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Checklist of CITES species – CITES Identification Manual. CITES Secretariat, Geneva, Switzerland, and UNEPWCMC, Cambridge, United Kingdom. Accessed on [Date].</w:t>
      </w:r>
    </w:p>
  </w:footnote>
  <w:footnote w:id="10">
    <w:p w14:paraId="25F6075F" w14:textId="77777777" w:rsidR="00F31CF4" w:rsidRPr="003D13AB" w:rsidRDefault="00F31CF4" w:rsidP="00F31CF4">
      <w:pPr>
        <w:pStyle w:val="FootnoteText"/>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 xml:space="preserve"> See </w:t>
      </w:r>
      <w:r w:rsidRPr="003D13AB">
        <w:rPr>
          <w:rFonts w:ascii="Archivo" w:hAnsi="Archivo" w:cs="Archivo"/>
          <w:sz w:val="16"/>
          <w:szCs w:val="16"/>
          <w:vertAlign w:val="superscript"/>
        </w:rPr>
        <w:t>15</w:t>
      </w:r>
      <w:r w:rsidRPr="003D13AB">
        <w:rPr>
          <w:rFonts w:ascii="Archivo" w:hAnsi="Archivo" w:cs="Archivo"/>
          <w:sz w:val="16"/>
          <w:szCs w:val="16"/>
        </w:rPr>
        <w:t>.</w:t>
      </w:r>
    </w:p>
  </w:footnote>
  <w:footnote w:id="11">
    <w:p w14:paraId="6A858507" w14:textId="77777777" w:rsidR="00F31CF4" w:rsidRPr="003D13AB" w:rsidRDefault="00F31CF4" w:rsidP="00F31CF4">
      <w:pPr>
        <w:pStyle w:val="FootnoteText"/>
        <w:rPr>
          <w:rFonts w:ascii="Archivo" w:hAnsi="Archivo" w:cs="Archivo"/>
          <w:sz w:val="16"/>
          <w:szCs w:val="16"/>
          <w:vertAlign w:val="superscript"/>
        </w:rPr>
      </w:pPr>
      <w:r w:rsidRPr="003D13AB">
        <w:rPr>
          <w:rStyle w:val="FootnoteReference"/>
          <w:rFonts w:ascii="Archivo" w:hAnsi="Archivo" w:cs="Archivo"/>
          <w:sz w:val="16"/>
          <w:szCs w:val="16"/>
        </w:rPr>
        <w:footnoteRef/>
      </w:r>
      <w:r w:rsidRPr="003D13AB">
        <w:rPr>
          <w:rFonts w:ascii="Archivo" w:hAnsi="Archivo" w:cs="Archivo"/>
          <w:sz w:val="16"/>
          <w:szCs w:val="16"/>
        </w:rPr>
        <w:t xml:space="preserve"> See </w:t>
      </w:r>
      <w:r w:rsidRPr="003D13AB">
        <w:rPr>
          <w:rFonts w:ascii="Archivo" w:hAnsi="Archivo" w:cs="Archivo"/>
          <w:sz w:val="16"/>
          <w:szCs w:val="16"/>
          <w:vertAlign w:val="superscript"/>
        </w:rPr>
        <w:t>17</w:t>
      </w:r>
    </w:p>
  </w:footnote>
  <w:footnote w:id="12">
    <w:p w14:paraId="63847064" w14:textId="77777777" w:rsidR="00B51799" w:rsidRPr="003D13AB" w:rsidRDefault="00B51799" w:rsidP="00411D77">
      <w:pPr>
        <w:pStyle w:val="FootnoteText"/>
        <w:jc w:val="both"/>
        <w:rPr>
          <w:rFonts w:ascii="Archivo" w:hAnsi="Archivo" w:cs="Archivo"/>
          <w:sz w:val="16"/>
          <w:szCs w:val="16"/>
        </w:rPr>
      </w:pPr>
      <w:r w:rsidRPr="003D13AB">
        <w:rPr>
          <w:rStyle w:val="FootnoteReference"/>
          <w:rFonts w:ascii="Archivo" w:hAnsi="Archivo" w:cs="Archivo"/>
          <w:sz w:val="16"/>
          <w:szCs w:val="16"/>
        </w:rPr>
        <w:footnoteRef/>
      </w:r>
      <w:r w:rsidRPr="003D13AB">
        <w:rPr>
          <w:rFonts w:ascii="Archivo" w:hAnsi="Archivo" w:cs="Archivo"/>
          <w:sz w:val="16"/>
          <w:szCs w:val="16"/>
        </w:rPr>
        <w:t>CITES Conf. 9.6 (Rev. CoP19)* Trade in readily recognizable parts and derivatives, including providing the definition ‘m ‘readily recognizable part or derivative’, as used in the Convention, shall be interpreted to include any specimen which appears from an accompanying document, the packaging or a mark or label, or from any other circumstances, to be a part or derivative of an animal or plant of a species included in the Appendices, unless such part or derivative is specifically exempted from the provisions of the Convention.’</w:t>
      </w:r>
    </w:p>
  </w:footnote>
  <w:footnote w:id="13">
    <w:p w14:paraId="38D49B41"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 Bird et al generation lengths of the world’s birds and their implications for extinction risk PAPER</w:t>
      </w:r>
    </w:p>
  </w:footnote>
  <w:footnote w:id="14">
    <w:p w14:paraId="4F54D239" w14:textId="43415BD1" w:rsidR="00F31CF4" w:rsidRPr="00AB2832" w:rsidRDefault="00F31CF4"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 Bird et al (2022) Supplementary material – generation lengths dataset cobi13486-sup-0004-TableS4.xlsx  (this dataset is open-access)</w:t>
      </w:r>
      <w:hyperlink r:id="rId2" w:history="1">
        <w:r w:rsidRPr="00AB2832">
          <w:rPr>
            <w:rStyle w:val="Hyperlink"/>
            <w:rFonts w:ascii="Archivo" w:hAnsi="Archivo" w:cs="Archivo"/>
            <w:sz w:val="16"/>
            <w:szCs w:val="16"/>
          </w:rPr>
          <w:t>https://conbio.onlinelibrary.wiley.com/action/downloadSupplement?doi=10.1111%2Fcobi.13486&amp;file=cobi13486-sup-0004-TableS4.xlsx</w:t>
        </w:r>
      </w:hyperlink>
    </w:p>
  </w:footnote>
  <w:footnote w:id="15">
    <w:p w14:paraId="0411A4BC" w14:textId="77777777" w:rsidR="00F31CF4" w:rsidRPr="00AB2832" w:rsidRDefault="00F31CF4"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IUCN Red List categories and criteria, version 3.1, second edition </w:t>
      </w:r>
      <w:hyperlink r:id="rId3" w:history="1">
        <w:r w:rsidRPr="00AB2832">
          <w:rPr>
            <w:rStyle w:val="Hyperlink"/>
            <w:rFonts w:ascii="Archivo" w:hAnsi="Archivo" w:cs="Archivo"/>
            <w:sz w:val="16"/>
            <w:szCs w:val="16"/>
          </w:rPr>
          <w:t>https://portals.iucn.org/library/node/10315</w:t>
        </w:r>
      </w:hyperlink>
    </w:p>
  </w:footnote>
  <w:footnote w:id="16">
    <w:p w14:paraId="738A9FE7" w14:textId="77777777" w:rsidR="002B05FD" w:rsidRPr="00AB2832" w:rsidRDefault="002B05FD"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 </w:t>
      </w:r>
      <w:proofErr w:type="spellStart"/>
      <w:r w:rsidRPr="00AB2832">
        <w:rPr>
          <w:rFonts w:ascii="Archivo" w:hAnsi="Archivo" w:cs="Archivo"/>
          <w:sz w:val="16"/>
          <w:szCs w:val="16"/>
        </w:rPr>
        <w:t>Lumbierres</w:t>
      </w:r>
      <w:proofErr w:type="spellEnd"/>
      <w:r w:rsidRPr="00AB2832">
        <w:rPr>
          <w:rFonts w:ascii="Archivo" w:hAnsi="Archivo" w:cs="Archivo"/>
          <w:sz w:val="16"/>
          <w:szCs w:val="16"/>
        </w:rPr>
        <w:t xml:space="preserve"> </w:t>
      </w:r>
      <w:r w:rsidRPr="00AB2832">
        <w:rPr>
          <w:rFonts w:ascii="Archivo" w:hAnsi="Archivo" w:cs="Archivo"/>
          <w:i/>
          <w:iCs/>
          <w:sz w:val="16"/>
          <w:szCs w:val="16"/>
        </w:rPr>
        <w:t xml:space="preserve">et </w:t>
      </w:r>
      <w:r w:rsidRPr="00AB2832">
        <w:rPr>
          <w:rFonts w:ascii="Archivo" w:hAnsi="Archivo" w:cs="Archivo"/>
          <w:sz w:val="16"/>
          <w:szCs w:val="16"/>
        </w:rPr>
        <w:t xml:space="preserve">al (2022) </w:t>
      </w:r>
      <w:hyperlink r:id="rId4" w:history="1">
        <w:r w:rsidRPr="00AB2832">
          <w:rPr>
            <w:rStyle w:val="Hyperlink"/>
            <w:rFonts w:ascii="Archivo" w:hAnsi="Archivo" w:cs="Archivo"/>
            <w:sz w:val="16"/>
            <w:szCs w:val="16"/>
          </w:rPr>
          <w:t>Area of Habitat maps for the world’s terrestrial birds and mammals</w:t>
        </w:r>
      </w:hyperlink>
    </w:p>
  </w:footnote>
  <w:footnote w:id="17">
    <w:p w14:paraId="28255AAE" w14:textId="77777777" w:rsidR="002B05FD" w:rsidRPr="00AB2832" w:rsidRDefault="002B05FD"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 </w:t>
      </w:r>
      <w:proofErr w:type="spellStart"/>
      <w:r w:rsidRPr="00AB2832">
        <w:rPr>
          <w:rFonts w:ascii="Archivo" w:hAnsi="Archivo" w:cs="Archivo"/>
          <w:color w:val="000000"/>
          <w:sz w:val="16"/>
          <w:szCs w:val="16"/>
        </w:rPr>
        <w:t>Lumbierres</w:t>
      </w:r>
      <w:proofErr w:type="spellEnd"/>
      <w:r w:rsidRPr="00AB2832">
        <w:rPr>
          <w:rFonts w:ascii="Archivo" w:hAnsi="Archivo" w:cs="Archivo"/>
          <w:color w:val="000000"/>
          <w:sz w:val="16"/>
          <w:szCs w:val="16"/>
        </w:rPr>
        <w:t>, Maria et al. (2022), Area of Habitat maps for the world's terrestrial birds and mammals, Dryad, Dataset, </w:t>
      </w:r>
      <w:hyperlink r:id="rId5" w:history="1">
        <w:r w:rsidRPr="00AB2832">
          <w:rPr>
            <w:rStyle w:val="Hyperlink"/>
            <w:rFonts w:ascii="Archivo" w:hAnsi="Archivo" w:cs="Archivo"/>
            <w:color w:val="00527A"/>
            <w:sz w:val="16"/>
            <w:szCs w:val="16"/>
          </w:rPr>
          <w:t>https://doi.org/10.5061/dryad.02v6wwq48</w:t>
        </w:r>
      </w:hyperlink>
    </w:p>
  </w:footnote>
  <w:footnote w:id="18">
    <w:p w14:paraId="139212F5" w14:textId="77777777" w:rsidR="00F31CF4" w:rsidRPr="00AB2832" w:rsidRDefault="00F31CF4"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 iucnredlist.org</w:t>
      </w:r>
    </w:p>
  </w:footnote>
  <w:footnote w:id="19">
    <w:p w14:paraId="65EE0CC1" w14:textId="77777777" w:rsidR="00F31CF4" w:rsidRPr="00AB2832" w:rsidRDefault="00F31CF4" w:rsidP="004F50B6">
      <w:pPr>
        <w:pStyle w:val="FootnoteText"/>
        <w:jc w:val="both"/>
        <w:rPr>
          <w:rFonts w:ascii="Archivo" w:hAnsi="Archivo" w:cs="Archivo"/>
          <w:sz w:val="16"/>
          <w:szCs w:val="16"/>
        </w:rPr>
      </w:pPr>
      <w:r w:rsidRPr="00AB2832">
        <w:rPr>
          <w:rStyle w:val="FootnoteReference"/>
          <w:rFonts w:ascii="Archivo" w:hAnsi="Archivo" w:cs="Archivo"/>
          <w:sz w:val="16"/>
          <w:szCs w:val="16"/>
        </w:rPr>
        <w:footnoteRef/>
      </w:r>
      <w:r w:rsidRPr="00AB2832">
        <w:rPr>
          <w:rFonts w:ascii="Archivo" w:hAnsi="Archivo" w:cs="Archivo"/>
          <w:sz w:val="16"/>
          <w:szCs w:val="16"/>
        </w:rPr>
        <w:t xml:space="preserve"> . Bird JP, Martin R, </w:t>
      </w:r>
      <w:proofErr w:type="spellStart"/>
      <w:r w:rsidRPr="00AB2832">
        <w:rPr>
          <w:rFonts w:ascii="Archivo" w:hAnsi="Archivo" w:cs="Archivo"/>
          <w:sz w:val="16"/>
          <w:szCs w:val="16"/>
        </w:rPr>
        <w:t>Akçakaya</w:t>
      </w:r>
      <w:proofErr w:type="spellEnd"/>
      <w:r w:rsidRPr="00AB2832">
        <w:rPr>
          <w:rFonts w:ascii="Archivo" w:hAnsi="Archivo" w:cs="Archivo"/>
          <w:sz w:val="16"/>
          <w:szCs w:val="16"/>
        </w:rPr>
        <w:t xml:space="preserve"> HR, Gilroy J, Burfield IJ. 2020. Generation lengths of the world’s birds and their implications for extinction risk. </w:t>
      </w:r>
      <w:proofErr w:type="spellStart"/>
      <w:r w:rsidRPr="00AB2832">
        <w:rPr>
          <w:rFonts w:ascii="Archivo" w:hAnsi="Archivo" w:cs="Archivo"/>
          <w:sz w:val="16"/>
          <w:szCs w:val="16"/>
        </w:rPr>
        <w:t>Conserv</w:t>
      </w:r>
      <w:proofErr w:type="spellEnd"/>
      <w:r w:rsidRPr="00AB2832">
        <w:rPr>
          <w:rFonts w:ascii="Archivo" w:hAnsi="Archivo" w:cs="Archivo"/>
          <w:sz w:val="16"/>
          <w:szCs w:val="16"/>
        </w:rPr>
        <w:t>. Biol. 34:1252–61</w:t>
      </w:r>
    </w:p>
  </w:footnote>
  <w:footnote w:id="20">
    <w:p w14:paraId="786C3A73"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 iucnredlist.org</w:t>
      </w:r>
    </w:p>
  </w:footnote>
  <w:footnote w:id="21">
    <w:p w14:paraId="6B0B5505"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 Adapted from the definition provided under the Review of Significant Trade (AC32. Doc.14.2), as follows, ‘Sharp increase (global): Taxa met this criterion if the volume of direct exports in [the last year of trade] at the global level across all accepted terms was more than three times the average trade volume of the preceding five years. A minimum trade threshold [should be applied]; [with] taxa excluded if they were traded in very low volumes, defined as (a) totalling less than 100 units over the [preceding] 10 year period or (b) average trade of less than 1 unit/year (if the taxon is CR, EN) or 20 units/year (any other IUCN classification or not assessed) in the most recent three years)  </w:t>
      </w:r>
      <w:r w:rsidRPr="004F50B6">
        <w:rPr>
          <w:rFonts w:ascii="Archivo" w:hAnsi="Archivo" w:cs="Archivo"/>
          <w:b/>
          <w:bCs/>
          <w:sz w:val="16"/>
          <w:szCs w:val="16"/>
        </w:rPr>
        <w:t>Sharp Increase (Country):</w:t>
      </w:r>
      <w:r w:rsidRPr="004F50B6">
        <w:rPr>
          <w:rFonts w:ascii="Archivo" w:hAnsi="Archivo" w:cs="Archivo"/>
          <w:sz w:val="16"/>
          <w:szCs w:val="16"/>
        </w:rPr>
        <w:t xml:space="preserve"> Taxon/country combinations met this criterion if the volume of direct exports across all accepted terms (see Table 2) in 2021 was more than three times the average trade volume of the preceding five years (2016-2020). A minimum trade threshold was applied; taxa were excluded if exports of that taxon/country combination occurred in very low volumes, defined as (a) totalling less than 100 units over the 10 year period 2012-2021 or (b) average trade of less than 1 unit/year (if the taxon is CR, EN) or 20 units/year (any other IUCN classification or not assessed) in the most recent three years (2019-2021)). It should be noted that, in cases where specimens are taken from marine areas beyond national jurisdiction (ABNJ; the ‘high seas’) in a ‘one-state transaction’ (see Figure 3), the high seas </w:t>
      </w:r>
      <w:proofErr w:type="gramStart"/>
      <w:r w:rsidRPr="004F50B6">
        <w:rPr>
          <w:rFonts w:ascii="Archivo" w:hAnsi="Archivo" w:cs="Archivo"/>
          <w:sz w:val="16"/>
          <w:szCs w:val="16"/>
        </w:rPr>
        <w:t>is</w:t>
      </w:r>
      <w:proofErr w:type="gramEnd"/>
      <w:r w:rsidRPr="004F50B6">
        <w:rPr>
          <w:rFonts w:ascii="Archivo" w:hAnsi="Archivo" w:cs="Archivo"/>
          <w:sz w:val="16"/>
          <w:szCs w:val="16"/>
        </w:rPr>
        <w:t xml:space="preserve"> treated as the exporter. A sharp increase in trade in one-state transactions from the high seas is therefore not attributed to any single country, but information on the major one-state transaction importers of specimens from ABNJ is shown alongside these cases for clarity.  AC32 Doc. 14.02 </w:t>
      </w:r>
    </w:p>
  </w:footnote>
  <w:footnote w:id="22">
    <w:p w14:paraId="2CC99BC6"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 </w:t>
      </w:r>
      <w:proofErr w:type="gramStart"/>
      <w:r w:rsidRPr="004F50B6">
        <w:rPr>
          <w:rFonts w:ascii="Archivo" w:hAnsi="Archivo" w:cs="Archivo"/>
          <w:sz w:val="16"/>
          <w:szCs w:val="16"/>
        </w:rPr>
        <w:t>Snakes</w:t>
      </w:r>
      <w:proofErr w:type="gramEnd"/>
      <w:r w:rsidRPr="004F50B6">
        <w:rPr>
          <w:rFonts w:ascii="Archivo" w:hAnsi="Archivo" w:cs="Archivo"/>
          <w:sz w:val="16"/>
          <w:szCs w:val="16"/>
        </w:rPr>
        <w:t xml:space="preserve"> guidance</w:t>
      </w:r>
    </w:p>
  </w:footnote>
  <w:footnote w:id="23">
    <w:p w14:paraId="4D69D79E"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Stringham et al 2021 Dataset of seize wildlife and their intended </w:t>
      </w:r>
      <w:proofErr w:type="gramStart"/>
      <w:r w:rsidRPr="004F50B6">
        <w:rPr>
          <w:rFonts w:ascii="Archivo" w:hAnsi="Archivo" w:cs="Archivo"/>
          <w:sz w:val="16"/>
          <w:szCs w:val="16"/>
        </w:rPr>
        <w:t>uses</w:t>
      </w:r>
      <w:proofErr w:type="gramEnd"/>
    </w:p>
  </w:footnote>
  <w:footnote w:id="24">
    <w:p w14:paraId="70819652"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 xml:space="preserve">Stringham et al dataset </w:t>
      </w:r>
      <w:proofErr w:type="gramStart"/>
      <w:r w:rsidRPr="004F50B6">
        <w:rPr>
          <w:rFonts w:ascii="Archivo" w:hAnsi="Archivo" w:cs="Archivo"/>
          <w:sz w:val="16"/>
          <w:szCs w:val="16"/>
        </w:rPr>
        <w:t>download</w:t>
      </w:r>
      <w:proofErr w:type="gramEnd"/>
      <w:r w:rsidRPr="004F50B6">
        <w:rPr>
          <w:rFonts w:ascii="Archivo" w:hAnsi="Archivo" w:cs="Archivo"/>
          <w:sz w:val="16"/>
          <w:szCs w:val="16"/>
        </w:rPr>
        <w:t xml:space="preserve"> https://figshare.com/articles/dataset/Dataset_of_seized_wildlife_and_their_intended_uses/14914773</w:t>
      </w:r>
    </w:p>
  </w:footnote>
  <w:footnote w:id="25">
    <w:p w14:paraId="3670C465" w14:textId="77777777" w:rsidR="00F31CF4" w:rsidRPr="004F50B6" w:rsidRDefault="00F31CF4" w:rsidP="004F50B6">
      <w:pPr>
        <w:pStyle w:val="FootnoteText"/>
        <w:jc w:val="both"/>
        <w:rPr>
          <w:rFonts w:ascii="Archivo" w:hAnsi="Archivo" w:cs="Archivo"/>
          <w:sz w:val="16"/>
          <w:szCs w:val="16"/>
        </w:rPr>
      </w:pPr>
      <w:r w:rsidRPr="004F50B6">
        <w:rPr>
          <w:rStyle w:val="FootnoteReference"/>
          <w:rFonts w:ascii="Archivo" w:hAnsi="Archivo" w:cs="Archivo"/>
          <w:sz w:val="16"/>
          <w:szCs w:val="16"/>
        </w:rPr>
        <w:footnoteRef/>
      </w:r>
      <w:r w:rsidRPr="004F50B6">
        <w:rPr>
          <w:rFonts w:ascii="Archivo" w:hAnsi="Archivo" w:cs="Archivo"/>
          <w:sz w:val="16"/>
          <w:szCs w:val="16"/>
        </w:rPr>
        <w:t>Conf Res https://cites.org/sites/default/files/document/E-Res-10-16-R11_0.pdf</w:t>
      </w:r>
    </w:p>
  </w:footnote>
  <w:footnote w:id="26">
    <w:p w14:paraId="1F2B333B" w14:textId="77777777" w:rsidR="00F31CF4" w:rsidRPr="00DC515B" w:rsidRDefault="00F31CF4" w:rsidP="00F31CF4">
      <w:pPr>
        <w:pStyle w:val="FootnoteText"/>
        <w:rPr>
          <w:rFonts w:ascii="Archivo" w:hAnsi="Archivo" w:cs="Archivo"/>
          <w:sz w:val="16"/>
          <w:szCs w:val="16"/>
        </w:rPr>
      </w:pPr>
      <w:r w:rsidRPr="00DC515B">
        <w:rPr>
          <w:rStyle w:val="FootnoteReference"/>
          <w:rFonts w:ascii="Archivo" w:hAnsi="Archivo" w:cs="Archivo"/>
          <w:sz w:val="16"/>
          <w:szCs w:val="16"/>
        </w:rPr>
        <w:footnoteRef/>
      </w:r>
      <w:r w:rsidRPr="00DC515B">
        <w:rPr>
          <w:rFonts w:ascii="Archivo" w:hAnsi="Archivo" w:cs="Archivo"/>
          <w:sz w:val="16"/>
          <w:szCs w:val="16"/>
        </w:rPr>
        <w:t xml:space="preserve"> </w:t>
      </w:r>
      <w:hyperlink r:id="rId6" w:history="1">
        <w:r w:rsidRPr="00DC515B">
          <w:rPr>
            <w:rStyle w:val="Hyperlink"/>
            <w:rFonts w:ascii="Archivo" w:hAnsi="Archivo" w:cs="Archivo"/>
            <w:sz w:val="16"/>
            <w:szCs w:val="16"/>
          </w:rPr>
          <w:t>https://www.publish.csiro.au/mu/MU13094_CO</w:t>
        </w:r>
      </w:hyperlink>
      <w:r w:rsidRPr="00DC515B">
        <w:rPr>
          <w:rFonts w:ascii="Archivo" w:hAnsi="Archivo" w:cs="Archivo"/>
          <w:sz w:val="16"/>
          <w:szCs w:val="16"/>
        </w:rPr>
        <w:t xml:space="preserve"> check for details re: evidence of potential smuggling of native Australian </w:t>
      </w:r>
      <w:proofErr w:type="gramStart"/>
      <w:r w:rsidRPr="00DC515B">
        <w:rPr>
          <w:rFonts w:ascii="Archivo" w:hAnsi="Archivo" w:cs="Archivo"/>
          <w:sz w:val="16"/>
          <w:szCs w:val="16"/>
        </w:rPr>
        <w:t>parrots</w:t>
      </w:r>
      <w:proofErr w:type="gramEnd"/>
    </w:p>
  </w:footnote>
  <w:footnote w:id="27">
    <w:p w14:paraId="10F0F3B9" w14:textId="77777777" w:rsidR="00F31CF4" w:rsidRPr="00DC515B" w:rsidRDefault="00F31CF4" w:rsidP="00F31CF4">
      <w:pPr>
        <w:pStyle w:val="FootnoteText"/>
        <w:rPr>
          <w:rFonts w:ascii="Archivo" w:hAnsi="Archivo" w:cs="Archivo"/>
          <w:sz w:val="16"/>
          <w:szCs w:val="16"/>
        </w:rPr>
      </w:pPr>
      <w:r w:rsidRPr="00DC515B">
        <w:rPr>
          <w:rStyle w:val="FootnoteReference"/>
          <w:rFonts w:ascii="Archivo" w:hAnsi="Archivo" w:cs="Archivo"/>
          <w:sz w:val="16"/>
          <w:szCs w:val="16"/>
        </w:rPr>
        <w:footnoteRef/>
      </w:r>
      <w:r w:rsidRPr="00DC515B">
        <w:rPr>
          <w:rFonts w:ascii="Archivo" w:hAnsi="Archivo" w:cs="Archivo"/>
          <w:sz w:val="16"/>
          <w:szCs w:val="16"/>
        </w:rPr>
        <w:t xml:space="preserve"> </w:t>
      </w:r>
    </w:p>
  </w:footnote>
  <w:footnote w:id="28">
    <w:p w14:paraId="06C2B58F" w14:textId="77777777" w:rsidR="00F31CF4" w:rsidRPr="00B46B77" w:rsidRDefault="00F31CF4" w:rsidP="00F31CF4">
      <w:pPr>
        <w:pStyle w:val="Heading2"/>
        <w:shd w:val="clear" w:color="auto" w:fill="FFFFFF"/>
        <w:spacing w:before="0"/>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Valle, Collar, Harris, Marsden (2018) </w:t>
      </w:r>
      <w:r w:rsidRPr="00B46B77">
        <w:rPr>
          <w:rStyle w:val="highlight-moduleako5d"/>
          <w:rFonts w:ascii="Archivo" w:hAnsi="Archivo" w:cs="Archivo"/>
          <w:sz w:val="16"/>
          <w:szCs w:val="16"/>
        </w:rPr>
        <w:t xml:space="preserve">Trapping method and quota observance are pivotal to population stability in a harvested </w:t>
      </w:r>
      <w:proofErr w:type="gramStart"/>
      <w:r w:rsidRPr="00B46B77">
        <w:rPr>
          <w:rStyle w:val="highlight-moduleako5d"/>
          <w:rFonts w:ascii="Archivo" w:hAnsi="Archivo" w:cs="Archivo"/>
          <w:sz w:val="16"/>
          <w:szCs w:val="16"/>
        </w:rPr>
        <w:t>parrot</w:t>
      </w:r>
      <w:proofErr w:type="gramEnd"/>
    </w:p>
  </w:footnote>
  <w:footnote w:id="29">
    <w:p w14:paraId="76BBEF03"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w:t>
      </w:r>
      <w:proofErr w:type="spellStart"/>
      <w:r w:rsidRPr="00B46B77">
        <w:rPr>
          <w:rFonts w:ascii="Archivo" w:hAnsi="Archivo" w:cs="Archivo"/>
          <w:sz w:val="16"/>
          <w:szCs w:val="16"/>
        </w:rPr>
        <w:t>Moussy</w:t>
      </w:r>
      <w:proofErr w:type="spellEnd"/>
      <w:r w:rsidRPr="00B46B77">
        <w:rPr>
          <w:rFonts w:ascii="Archivo" w:hAnsi="Archivo" w:cs="Archivo"/>
          <w:sz w:val="16"/>
          <w:szCs w:val="16"/>
        </w:rPr>
        <w:t xml:space="preserve"> </w:t>
      </w:r>
      <w:r w:rsidRPr="00B46B77">
        <w:rPr>
          <w:rFonts w:ascii="Archivo" w:hAnsi="Archivo" w:cs="Archivo"/>
          <w:i/>
          <w:iCs/>
          <w:sz w:val="16"/>
          <w:szCs w:val="16"/>
        </w:rPr>
        <w:t xml:space="preserve">et al </w:t>
      </w:r>
      <w:r w:rsidRPr="00B46B77">
        <w:rPr>
          <w:rFonts w:ascii="Archivo" w:hAnsi="Archivo" w:cs="Archivo"/>
          <w:sz w:val="16"/>
          <w:szCs w:val="16"/>
        </w:rPr>
        <w:t xml:space="preserve">(2021) A quantitative global review of species population monitoring </w:t>
      </w:r>
      <w:hyperlink r:id="rId7" w:history="1">
        <w:r w:rsidRPr="00B46B77">
          <w:rPr>
            <w:rStyle w:val="Hyperlink"/>
            <w:rFonts w:ascii="Archivo" w:hAnsi="Archivo" w:cs="Archivo"/>
            <w:sz w:val="16"/>
            <w:szCs w:val="16"/>
          </w:rPr>
          <w:t>https://conbio.onlinelibrary.wiley.com/doi/10.1111/cobi.13721</w:t>
        </w:r>
      </w:hyperlink>
    </w:p>
  </w:footnote>
  <w:footnote w:id="30">
    <w:p w14:paraId="22CD2B8B"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proofErr w:type="spellStart"/>
      <w:r w:rsidRPr="00B46B77">
        <w:rPr>
          <w:rFonts w:ascii="Archivo" w:hAnsi="Archivo" w:cs="Archivo"/>
          <w:sz w:val="16"/>
          <w:szCs w:val="16"/>
        </w:rPr>
        <w:t>Fraisl</w:t>
      </w:r>
      <w:proofErr w:type="spellEnd"/>
      <w:r w:rsidRPr="00B46B77">
        <w:rPr>
          <w:rFonts w:ascii="Archivo" w:hAnsi="Archivo" w:cs="Archivo"/>
          <w:sz w:val="16"/>
          <w:szCs w:val="16"/>
        </w:rPr>
        <w:t xml:space="preserve"> </w:t>
      </w:r>
      <w:r w:rsidRPr="00B46B77">
        <w:rPr>
          <w:rFonts w:ascii="Archivo" w:hAnsi="Archivo" w:cs="Archivo"/>
          <w:i/>
          <w:iCs/>
          <w:sz w:val="16"/>
          <w:szCs w:val="16"/>
        </w:rPr>
        <w:t xml:space="preserve">et al </w:t>
      </w:r>
      <w:r w:rsidRPr="00B46B77">
        <w:rPr>
          <w:rFonts w:ascii="Archivo" w:hAnsi="Archivo" w:cs="Archivo"/>
          <w:sz w:val="16"/>
          <w:szCs w:val="16"/>
        </w:rPr>
        <w:t>(2022) Citizen science in environmental and ecological sciences https://www.nature.com/articles/s43586-022-00144-4</w:t>
      </w:r>
    </w:p>
  </w:footnote>
  <w:footnote w:id="31">
    <w:p w14:paraId="340C4B3D" w14:textId="77777777" w:rsidR="00F31CF4" w:rsidRPr="00B46B77" w:rsidRDefault="00F31CF4" w:rsidP="00F31CF4">
      <w:pPr>
        <w:spacing w:after="0"/>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Sun et al Citizen Science Data Collection for Integrated Wildlife Population Analyses </w:t>
      </w:r>
      <w:hyperlink r:id="rId8" w:history="1">
        <w:r w:rsidRPr="00B46B77">
          <w:rPr>
            <w:rStyle w:val="Hyperlink"/>
            <w:rFonts w:ascii="Archivo" w:hAnsi="Archivo" w:cs="Archivo"/>
            <w:sz w:val="16"/>
            <w:szCs w:val="16"/>
          </w:rPr>
          <w:t>https://www.frontiersin.org/articles/10.3389/fevo.2021.682124/full</w:t>
        </w:r>
      </w:hyperlink>
    </w:p>
  </w:footnote>
  <w:footnote w:id="32">
    <w:p w14:paraId="56AF3189"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w:t>
      </w:r>
      <w:proofErr w:type="spellStart"/>
      <w:r w:rsidRPr="00B46B77">
        <w:rPr>
          <w:rFonts w:ascii="Archivo" w:hAnsi="Archivo" w:cs="Archivo"/>
          <w:sz w:val="16"/>
          <w:szCs w:val="16"/>
        </w:rPr>
        <w:t>Bianchini</w:t>
      </w:r>
      <w:proofErr w:type="spellEnd"/>
      <w:r w:rsidRPr="00B46B77">
        <w:rPr>
          <w:rFonts w:ascii="Archivo" w:hAnsi="Archivo" w:cs="Archivo"/>
          <w:sz w:val="16"/>
          <w:szCs w:val="16"/>
        </w:rPr>
        <w:t xml:space="preserve"> &amp; Tozer (2023) </w:t>
      </w:r>
    </w:p>
  </w:footnote>
  <w:footnote w:id="33">
    <w:p w14:paraId="1A0C2E76" w14:textId="2C392606"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The Living Planet Index (LPI) is a measure of the state of the world’s biological diversity based on population trends of vertebrate species from terrestrial, </w:t>
      </w:r>
      <w:proofErr w:type="gramStart"/>
      <w:r w:rsidRPr="00B46B77">
        <w:rPr>
          <w:rFonts w:ascii="Archivo" w:hAnsi="Archivo" w:cs="Archivo"/>
          <w:sz w:val="16"/>
          <w:szCs w:val="16"/>
        </w:rPr>
        <w:t>freshwater</w:t>
      </w:r>
      <w:proofErr w:type="gramEnd"/>
      <w:r w:rsidRPr="00B46B77">
        <w:rPr>
          <w:rFonts w:ascii="Archivo" w:hAnsi="Archivo" w:cs="Archivo"/>
          <w:sz w:val="16"/>
          <w:szCs w:val="16"/>
        </w:rPr>
        <w:t xml:space="preserve"> and marine habitats. It is based on trends of thousands of population time series collected from monitored sites around the world. </w:t>
      </w:r>
      <w:hyperlink r:id="rId9" w:history="1">
        <w:r w:rsidRPr="00B46B77">
          <w:rPr>
            <w:rStyle w:val="Hyperlink"/>
            <w:rFonts w:ascii="Archivo" w:hAnsi="Archivo" w:cs="Archivo"/>
            <w:sz w:val="16"/>
            <w:szCs w:val="16"/>
          </w:rPr>
          <w:t>https://www.livingplanetindex.org/</w:t>
        </w:r>
      </w:hyperlink>
    </w:p>
  </w:footnote>
  <w:footnote w:id="34">
    <w:p w14:paraId="605F289A"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statistics https://www.livingplanetindex.org/stats</w:t>
      </w:r>
    </w:p>
  </w:footnote>
  <w:footnote w:id="35">
    <w:p w14:paraId="3DA57D94" w14:textId="77777777" w:rsidR="00F31CF4" w:rsidRPr="005E2D5A" w:rsidRDefault="00F31CF4" w:rsidP="00B46B77">
      <w:pPr>
        <w:pStyle w:val="FootnoteText"/>
        <w:jc w:val="both"/>
        <w:rPr>
          <w:rFonts w:ascii="Archivo" w:hAnsi="Archivo" w:cs="Archivo"/>
          <w:sz w:val="16"/>
          <w:szCs w:val="16"/>
        </w:rPr>
      </w:pPr>
      <w:r w:rsidRPr="005E2D5A">
        <w:rPr>
          <w:rStyle w:val="FootnoteReference"/>
          <w:rFonts w:ascii="Archivo" w:hAnsi="Archivo" w:cs="Archivo"/>
          <w:sz w:val="16"/>
          <w:szCs w:val="16"/>
        </w:rPr>
        <w:footnoteRef/>
      </w:r>
      <w:r w:rsidRPr="005E2D5A">
        <w:rPr>
          <w:rFonts w:ascii="Archivo" w:hAnsi="Archivo" w:cs="Archivo"/>
          <w:sz w:val="16"/>
          <w:szCs w:val="16"/>
        </w:rPr>
        <w:t xml:space="preserve"> </w:t>
      </w:r>
      <w:r w:rsidRPr="005E2D5A">
        <w:rPr>
          <w:rFonts w:ascii="Archivo" w:hAnsi="Archivo" w:cs="Archivo"/>
          <w:sz w:val="16"/>
          <w:szCs w:val="16"/>
          <w:shd w:val="clear" w:color="auto" w:fill="FFFFFF"/>
        </w:rPr>
        <w:t>The carrying capacity of an environment is </w:t>
      </w:r>
      <w:r w:rsidRPr="005E2D5A">
        <w:rPr>
          <w:rStyle w:val="Emphasis"/>
          <w:rFonts w:ascii="Archivo" w:hAnsi="Archivo" w:cs="Archivo"/>
          <w:sz w:val="16"/>
          <w:szCs w:val="16"/>
          <w:shd w:val="clear" w:color="auto" w:fill="FFFFFF"/>
        </w:rPr>
        <w:t>the maximum population size of a biological species that can be sustained by that specific</w:t>
      </w:r>
      <w:r w:rsidRPr="005E2D5A">
        <w:rPr>
          <w:rFonts w:ascii="Archivo" w:hAnsi="Archivo" w:cs="Archivo"/>
          <w:sz w:val="16"/>
          <w:szCs w:val="16"/>
          <w:shd w:val="clear" w:color="auto" w:fill="FFFFFF"/>
        </w:rPr>
        <w:t> environment.</w:t>
      </w:r>
    </w:p>
  </w:footnote>
  <w:footnote w:id="36">
    <w:p w14:paraId="2619259E" w14:textId="77777777" w:rsidR="00F31CF4" w:rsidRPr="00B46B77" w:rsidRDefault="00F31CF4" w:rsidP="00B46B77">
      <w:pPr>
        <w:pStyle w:val="FootnoteText"/>
        <w:jc w:val="both"/>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Red list criteria</w:t>
      </w:r>
    </w:p>
  </w:footnote>
  <w:footnote w:id="37">
    <w:p w14:paraId="7332CA5B" w14:textId="77777777" w:rsidR="00F31CF4" w:rsidRPr="00B46B77" w:rsidRDefault="00F31CF4" w:rsidP="00B46B77">
      <w:pPr>
        <w:pStyle w:val="FootnoteText"/>
        <w:jc w:val="both"/>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HBW and </w:t>
      </w:r>
      <w:proofErr w:type="spellStart"/>
      <w:r w:rsidRPr="00B46B77">
        <w:rPr>
          <w:rFonts w:ascii="Archivo" w:hAnsi="Archivo" w:cs="Archivo"/>
          <w:sz w:val="16"/>
          <w:szCs w:val="16"/>
        </w:rPr>
        <w:t>BirdLife</w:t>
      </w:r>
      <w:proofErr w:type="spellEnd"/>
      <w:r w:rsidRPr="00B46B77">
        <w:rPr>
          <w:rFonts w:ascii="Archivo" w:hAnsi="Archivo" w:cs="Archivo"/>
          <w:sz w:val="16"/>
          <w:szCs w:val="16"/>
        </w:rPr>
        <w:t xml:space="preserve"> Taxonomic Checklist v.7 </w:t>
      </w:r>
      <w:hyperlink r:id="rId10" w:history="1">
        <w:r w:rsidRPr="00B46B77">
          <w:rPr>
            <w:rStyle w:val="Hyperlink"/>
            <w:rFonts w:ascii="Archivo" w:hAnsi="Archivo" w:cs="Archivo"/>
            <w:sz w:val="16"/>
            <w:szCs w:val="16"/>
          </w:rPr>
          <w:t>http://datazone.birdlife.org/userfiles/file/Species/Taxonomy/HBW-BirdLife_Checklist_v7_Dec22.zip</w:t>
        </w:r>
      </w:hyperlink>
    </w:p>
  </w:footnote>
  <w:footnote w:id="38">
    <w:p w14:paraId="7E89E8EF" w14:textId="77777777" w:rsidR="00F31CF4" w:rsidRPr="00B46B77" w:rsidRDefault="00F31CF4" w:rsidP="00B46B77">
      <w:pPr>
        <w:pStyle w:val="FootnoteText"/>
        <w:jc w:val="both"/>
        <w:rPr>
          <w:rFonts w:ascii="Archivo" w:hAnsi="Archivo" w:cs="Archivo"/>
          <w:sz w:val="16"/>
          <w:szCs w:val="16"/>
          <w:lang w:val="de-DE"/>
        </w:rPr>
      </w:pPr>
      <w:r w:rsidRPr="00B46B77">
        <w:rPr>
          <w:rStyle w:val="FootnoteReference"/>
          <w:rFonts w:ascii="Archivo" w:hAnsi="Archivo" w:cs="Archivo"/>
          <w:sz w:val="16"/>
          <w:szCs w:val="16"/>
        </w:rPr>
        <w:footnoteRef/>
      </w:r>
      <w:r w:rsidRPr="00B46B77">
        <w:rPr>
          <w:rFonts w:ascii="Archivo" w:hAnsi="Archivo" w:cs="Archivo"/>
          <w:sz w:val="16"/>
          <w:szCs w:val="16"/>
          <w:lang w:val="de-DE"/>
        </w:rPr>
        <w:t xml:space="preserve"> REFERENCE BLI SOWB</w:t>
      </w:r>
    </w:p>
  </w:footnote>
  <w:footnote w:id="39">
    <w:p w14:paraId="0BBA1DFA" w14:textId="77777777" w:rsidR="00F31CF4" w:rsidRPr="00B46B77" w:rsidRDefault="00F31CF4" w:rsidP="00B46B77">
      <w:pPr>
        <w:pStyle w:val="FootnoteText"/>
        <w:jc w:val="both"/>
        <w:rPr>
          <w:rFonts w:ascii="Archivo" w:hAnsi="Archivo" w:cs="Archivo"/>
          <w:sz w:val="16"/>
          <w:szCs w:val="16"/>
          <w:lang w:val="de-DE"/>
        </w:rPr>
      </w:pPr>
      <w:r w:rsidRPr="00B46B77">
        <w:rPr>
          <w:rStyle w:val="FootnoteReference"/>
          <w:rFonts w:ascii="Archivo" w:hAnsi="Archivo" w:cs="Archivo"/>
          <w:sz w:val="16"/>
          <w:szCs w:val="16"/>
        </w:rPr>
        <w:footnoteRef/>
      </w:r>
      <w:r w:rsidRPr="00B46B77">
        <w:rPr>
          <w:rFonts w:ascii="Archivo" w:hAnsi="Archivo" w:cs="Archivo"/>
          <w:sz w:val="16"/>
          <w:szCs w:val="16"/>
          <w:lang w:val="de-DE"/>
        </w:rPr>
        <w:t xml:space="preserve"> https://www.nationalredlist.org/</w:t>
      </w:r>
    </w:p>
  </w:footnote>
  <w:footnote w:id="40">
    <w:p w14:paraId="7E1CAAC0"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w:t>
      </w:r>
      <w:proofErr w:type="spellStart"/>
      <w:r w:rsidRPr="00B46B77">
        <w:rPr>
          <w:rFonts w:ascii="Archivo" w:hAnsi="Archivo" w:cs="Archivo"/>
          <w:sz w:val="16"/>
          <w:szCs w:val="16"/>
        </w:rPr>
        <w:t>BirdLife</w:t>
      </w:r>
      <w:proofErr w:type="spellEnd"/>
      <w:r w:rsidRPr="00B46B77">
        <w:rPr>
          <w:rFonts w:ascii="Archivo" w:hAnsi="Archivo" w:cs="Archivo"/>
          <w:sz w:val="16"/>
          <w:szCs w:val="16"/>
        </w:rPr>
        <w:t xml:space="preserve"> International. 2020. IUCN Red List for birds. </w:t>
      </w:r>
      <w:proofErr w:type="spellStart"/>
      <w:r w:rsidRPr="00B46B77">
        <w:rPr>
          <w:rFonts w:ascii="Archivo" w:hAnsi="Archivo" w:cs="Archivo"/>
          <w:sz w:val="16"/>
          <w:szCs w:val="16"/>
        </w:rPr>
        <w:t>BirdLife</w:t>
      </w:r>
      <w:proofErr w:type="spellEnd"/>
      <w:r w:rsidRPr="00B46B77">
        <w:rPr>
          <w:rFonts w:ascii="Archivo" w:hAnsi="Archivo" w:cs="Archivo"/>
          <w:sz w:val="16"/>
          <w:szCs w:val="16"/>
        </w:rPr>
        <w:t xml:space="preserve"> International. http://www.birdlife.org</w:t>
      </w:r>
    </w:p>
  </w:footnote>
  <w:footnote w:id="41">
    <w:p w14:paraId="2CCF8B07" w14:textId="77777777" w:rsidR="00F31CF4" w:rsidRPr="00B46B77" w:rsidRDefault="00F31CF4" w:rsidP="00F31CF4">
      <w:pPr>
        <w:pStyle w:val="FootnoteText"/>
        <w:rPr>
          <w:rFonts w:ascii="Archivo" w:hAnsi="Archivo" w:cs="Archivo"/>
          <w:sz w:val="16"/>
          <w:szCs w:val="16"/>
        </w:rPr>
      </w:pPr>
      <w:r w:rsidRPr="00B46B77">
        <w:rPr>
          <w:rStyle w:val="FootnoteReference"/>
          <w:rFonts w:ascii="Archivo" w:hAnsi="Archivo" w:cs="Archivo"/>
          <w:sz w:val="16"/>
          <w:szCs w:val="16"/>
        </w:rPr>
        <w:footnoteRef/>
      </w:r>
      <w:r w:rsidRPr="00B46B77">
        <w:rPr>
          <w:rFonts w:ascii="Archivo" w:hAnsi="Archivo" w:cs="Archivo"/>
          <w:sz w:val="16"/>
          <w:szCs w:val="16"/>
        </w:rPr>
        <w:t xml:space="preserve"> Red list criterion </w:t>
      </w:r>
    </w:p>
  </w:footnote>
  <w:footnote w:id="42">
    <w:p w14:paraId="6DF9F2A9" w14:textId="0C967C25" w:rsidR="00F31CF4" w:rsidRPr="006F37F6" w:rsidRDefault="00F31CF4" w:rsidP="006F37F6">
      <w:pPr>
        <w:pStyle w:val="FootnoteText"/>
        <w:rPr>
          <w:rFonts w:ascii="Archivo" w:hAnsi="Archivo" w:cs="Archivo"/>
          <w:sz w:val="16"/>
          <w:szCs w:val="16"/>
        </w:rPr>
      </w:pPr>
      <w:r w:rsidRPr="006F37F6">
        <w:rPr>
          <w:rStyle w:val="FootnoteReference"/>
          <w:rFonts w:ascii="Archivo" w:hAnsi="Archivo" w:cs="Archivo"/>
          <w:sz w:val="16"/>
          <w:szCs w:val="16"/>
        </w:rPr>
        <w:footnoteRef/>
      </w:r>
      <w:r w:rsidRPr="006F37F6">
        <w:rPr>
          <w:rFonts w:ascii="Archivo" w:hAnsi="Archivo" w:cs="Archivo"/>
          <w:sz w:val="16"/>
          <w:szCs w:val="16"/>
        </w:rPr>
        <w:t xml:space="preserve"> </w:t>
      </w:r>
      <w:bookmarkStart w:id="9" w:name="_Hlk147919210"/>
      <w:r w:rsidRPr="006F37F6">
        <w:rPr>
          <w:rFonts w:ascii="Archivo" w:hAnsi="Archivo" w:cs="Archivo"/>
          <w:sz w:val="16"/>
          <w:szCs w:val="16"/>
        </w:rPr>
        <w:t xml:space="preserve">Williams, D.R., </w:t>
      </w:r>
      <w:proofErr w:type="spellStart"/>
      <w:r w:rsidRPr="006F37F6">
        <w:rPr>
          <w:rFonts w:ascii="Archivo" w:hAnsi="Archivo" w:cs="Archivo"/>
          <w:sz w:val="16"/>
          <w:szCs w:val="16"/>
        </w:rPr>
        <w:t>Pople</w:t>
      </w:r>
      <w:proofErr w:type="spellEnd"/>
      <w:r w:rsidRPr="006F37F6">
        <w:rPr>
          <w:rFonts w:ascii="Archivo" w:hAnsi="Archivo" w:cs="Archivo"/>
          <w:sz w:val="16"/>
          <w:szCs w:val="16"/>
        </w:rPr>
        <w:t xml:space="preserve">, R.G., </w:t>
      </w:r>
      <w:proofErr w:type="spellStart"/>
      <w:r w:rsidRPr="006F37F6">
        <w:rPr>
          <w:rFonts w:ascii="Archivo" w:hAnsi="Archivo" w:cs="Archivo"/>
          <w:sz w:val="16"/>
          <w:szCs w:val="16"/>
        </w:rPr>
        <w:t>Showler</w:t>
      </w:r>
      <w:proofErr w:type="spellEnd"/>
      <w:r w:rsidRPr="006F37F6">
        <w:rPr>
          <w:rFonts w:ascii="Archivo" w:hAnsi="Archivo" w:cs="Archivo"/>
          <w:sz w:val="16"/>
          <w:szCs w:val="16"/>
        </w:rPr>
        <w:t xml:space="preserve">, D.A., Dicks, L.V., Child, M.F., </w:t>
      </w:r>
      <w:proofErr w:type="spellStart"/>
      <w:r w:rsidRPr="006F37F6">
        <w:rPr>
          <w:rFonts w:ascii="Archivo" w:hAnsi="Archivo" w:cs="Archivo"/>
          <w:sz w:val="16"/>
          <w:szCs w:val="16"/>
        </w:rPr>
        <w:t>zu</w:t>
      </w:r>
      <w:proofErr w:type="spellEnd"/>
      <w:r w:rsidRPr="006F37F6">
        <w:rPr>
          <w:rFonts w:ascii="Archivo" w:hAnsi="Archivo" w:cs="Archivo"/>
          <w:sz w:val="16"/>
          <w:szCs w:val="16"/>
        </w:rPr>
        <w:t xml:space="preserve"> </w:t>
      </w:r>
      <w:proofErr w:type="spellStart"/>
      <w:r w:rsidRPr="006F37F6">
        <w:rPr>
          <w:rFonts w:ascii="Archivo" w:hAnsi="Archivo" w:cs="Archivo"/>
          <w:sz w:val="16"/>
          <w:szCs w:val="16"/>
        </w:rPr>
        <w:t>Ermgassen</w:t>
      </w:r>
      <w:proofErr w:type="spellEnd"/>
      <w:r w:rsidRPr="006F37F6">
        <w:rPr>
          <w:rFonts w:ascii="Archivo" w:hAnsi="Archivo" w:cs="Archivo"/>
          <w:sz w:val="16"/>
          <w:szCs w:val="16"/>
        </w:rPr>
        <w:t xml:space="preserve">, E.K.H.J. and Sutherland, W.J. (2012) Bird Conservation: Global evidence for the effects of interventions. Exeter, Pelagic Publishing </w:t>
      </w:r>
      <w:r w:rsidR="002C4D81">
        <w:rPr>
          <w:rFonts w:ascii="Archivo" w:hAnsi="Archivo" w:cs="Archivo"/>
          <w:sz w:val="16"/>
          <w:szCs w:val="16"/>
        </w:rPr>
        <w:t>(</w:t>
      </w:r>
      <w:r w:rsidR="002C4D81" w:rsidRPr="002C4D81">
        <w:rPr>
          <w:rFonts w:ascii="Archivo" w:hAnsi="Archivo" w:cs="Archivo"/>
          <w:sz w:val="16"/>
          <w:szCs w:val="16"/>
        </w:rPr>
        <w:t>https://www.researchgate.net/publication/268214226_Bird_Conservation_-_evidence_for_the_effects_of_interventions</w:t>
      </w:r>
      <w:r w:rsidRPr="006F37F6">
        <w:rPr>
          <w:rFonts w:ascii="Archivo" w:hAnsi="Archivo" w:cs="Archivo"/>
          <w:sz w:val="16"/>
          <w:szCs w:val="16"/>
        </w:rPr>
        <w:t>)</w:t>
      </w:r>
    </w:p>
    <w:bookmarkEnd w:id="9"/>
  </w:footnote>
  <w:footnote w:id="43">
    <w:p w14:paraId="28DF362E" w14:textId="77777777" w:rsidR="00F31CF4" w:rsidRPr="006F37F6" w:rsidRDefault="00F31CF4" w:rsidP="00F31CF4">
      <w:pPr>
        <w:pStyle w:val="FootnoteText"/>
        <w:rPr>
          <w:rFonts w:ascii="Archivo" w:hAnsi="Archivo" w:cs="Archivo"/>
          <w:sz w:val="16"/>
          <w:szCs w:val="16"/>
        </w:rPr>
      </w:pPr>
      <w:r w:rsidRPr="006F37F6">
        <w:rPr>
          <w:rStyle w:val="FootnoteReference"/>
          <w:rFonts w:ascii="Archivo" w:hAnsi="Archivo" w:cs="Archivo"/>
          <w:sz w:val="16"/>
          <w:szCs w:val="16"/>
        </w:rPr>
        <w:footnoteRef/>
      </w:r>
      <w:r w:rsidRPr="006F37F6">
        <w:rPr>
          <w:rFonts w:ascii="Archivo" w:hAnsi="Archivo" w:cs="Archivo"/>
          <w:sz w:val="16"/>
          <w:szCs w:val="16"/>
        </w:rPr>
        <w:t xml:space="preserve"> Adapted from the State of the Worlds Birds 2022 </w:t>
      </w:r>
    </w:p>
  </w:footnote>
  <w:footnote w:id="44">
    <w:p w14:paraId="162E550F" w14:textId="77777777" w:rsidR="00F31CF4" w:rsidRPr="006830E8" w:rsidRDefault="00F31CF4" w:rsidP="00F31CF4">
      <w:pPr>
        <w:pStyle w:val="FootnoteText"/>
      </w:pPr>
      <w:r w:rsidRPr="006F37F6">
        <w:rPr>
          <w:rStyle w:val="FootnoteReference"/>
          <w:rFonts w:ascii="Archivo" w:hAnsi="Archivo" w:cs="Archivo"/>
          <w:sz w:val="16"/>
          <w:szCs w:val="16"/>
        </w:rPr>
        <w:footnoteRef/>
      </w:r>
      <w:r w:rsidRPr="006F37F6">
        <w:rPr>
          <w:rFonts w:ascii="Archivo" w:hAnsi="Archivo" w:cs="Archivo"/>
          <w:sz w:val="16"/>
          <w:szCs w:val="16"/>
        </w:rPr>
        <w:t xml:space="preserve"> IUCN SSC Hornbill Specialist Group Helmeted Hornbill (</w:t>
      </w:r>
      <w:proofErr w:type="spellStart"/>
      <w:r w:rsidRPr="006F37F6">
        <w:rPr>
          <w:rFonts w:ascii="Archivo" w:hAnsi="Archivo" w:cs="Archivo"/>
          <w:sz w:val="16"/>
          <w:szCs w:val="16"/>
        </w:rPr>
        <w:t>Rhinoplax</w:t>
      </w:r>
      <w:proofErr w:type="spellEnd"/>
      <w:r w:rsidRPr="006F37F6">
        <w:rPr>
          <w:rFonts w:ascii="Archivo" w:hAnsi="Archivo" w:cs="Archivo"/>
          <w:sz w:val="16"/>
          <w:szCs w:val="16"/>
        </w:rPr>
        <w:t xml:space="preserve"> vigil): Status review, range-wide conservation strategy and action plan (2018-2027) </w:t>
      </w:r>
      <w:hyperlink r:id="rId11" w:history="1">
        <w:r w:rsidRPr="006F37F6">
          <w:rPr>
            <w:rStyle w:val="Hyperlink"/>
            <w:rFonts w:ascii="Archivo" w:hAnsi="Archivo" w:cs="Archivo"/>
            <w:sz w:val="16"/>
            <w:szCs w:val="16"/>
          </w:rPr>
          <w:t>https://iucnhornbills.org/wp-content/uploads/2018/09/HelmetedHornbill_actionplan_final_LR.pdf</w:t>
        </w:r>
      </w:hyperlink>
    </w:p>
  </w:footnote>
  <w:footnote w:id="45">
    <w:p w14:paraId="0A81EBD5" w14:textId="77777777" w:rsidR="00F31CF4" w:rsidRPr="005E2D5A" w:rsidRDefault="00F31CF4" w:rsidP="00F31CF4">
      <w:pPr>
        <w:pStyle w:val="FootnoteText"/>
        <w:rPr>
          <w:rFonts w:ascii="Archivo" w:hAnsi="Archivo" w:cs="Archivo"/>
          <w:sz w:val="16"/>
          <w:szCs w:val="16"/>
        </w:rPr>
      </w:pPr>
      <w:r w:rsidRPr="005E2D5A">
        <w:rPr>
          <w:rStyle w:val="FootnoteReference"/>
          <w:rFonts w:ascii="Archivo" w:hAnsi="Archivo" w:cs="Archivo"/>
          <w:sz w:val="16"/>
          <w:szCs w:val="16"/>
        </w:rPr>
        <w:footnoteRef/>
      </w:r>
      <w:r w:rsidRPr="005E2D5A">
        <w:rPr>
          <w:rFonts w:ascii="Archivo" w:hAnsi="Archivo" w:cs="Archivo"/>
          <w:sz w:val="16"/>
          <w:szCs w:val="16"/>
        </w:rPr>
        <w:t xml:space="preserve"> </w:t>
      </w:r>
      <w:proofErr w:type="spellStart"/>
      <w:r w:rsidRPr="005E2D5A">
        <w:rPr>
          <w:rFonts w:ascii="Archivo" w:hAnsi="Archivo" w:cs="Archivo"/>
          <w:sz w:val="16"/>
          <w:szCs w:val="16"/>
          <w:shd w:val="clear" w:color="auto" w:fill="FFFFFF"/>
        </w:rPr>
        <w:t>BirdLife</w:t>
      </w:r>
      <w:proofErr w:type="spellEnd"/>
      <w:r w:rsidRPr="005E2D5A">
        <w:rPr>
          <w:rFonts w:ascii="Archivo" w:hAnsi="Archivo" w:cs="Archivo"/>
          <w:sz w:val="16"/>
          <w:szCs w:val="16"/>
          <w:shd w:val="clear" w:color="auto" w:fill="FFFFFF"/>
        </w:rPr>
        <w:t xml:space="preserve"> International (2011) Local self-regulation can be more effective at ensuring sustainable resource use than outright ban. Downloaded from http://www.birdlife.org on </w:t>
      </w:r>
      <w:proofErr w:type="gramStart"/>
      <w:r w:rsidRPr="005E2D5A">
        <w:rPr>
          <w:rFonts w:ascii="Archivo" w:hAnsi="Archivo" w:cs="Archivo"/>
          <w:sz w:val="16"/>
          <w:szCs w:val="16"/>
          <w:shd w:val="clear" w:color="auto" w:fill="FFFFFF"/>
        </w:rPr>
        <w:t>25/07/2023</w:t>
      </w:r>
      <w:proofErr w:type="gramEnd"/>
    </w:p>
  </w:footnote>
  <w:footnote w:id="46">
    <w:p w14:paraId="3540F384" w14:textId="77777777" w:rsidR="00F31CF4" w:rsidRPr="005E2D5A" w:rsidRDefault="00F31CF4" w:rsidP="00F31CF4">
      <w:pPr>
        <w:pStyle w:val="FootnoteText"/>
        <w:rPr>
          <w:rFonts w:ascii="Archivo" w:hAnsi="Archivo" w:cs="Archivo"/>
          <w:sz w:val="16"/>
          <w:szCs w:val="16"/>
        </w:rPr>
      </w:pPr>
      <w:r w:rsidRPr="005E2D5A">
        <w:rPr>
          <w:rStyle w:val="FootnoteReference"/>
          <w:rFonts w:ascii="Archivo" w:hAnsi="Archivo" w:cs="Archivo"/>
          <w:sz w:val="16"/>
          <w:szCs w:val="16"/>
        </w:rPr>
        <w:footnoteRef/>
      </w:r>
      <w:r w:rsidRPr="005E2D5A">
        <w:rPr>
          <w:rFonts w:ascii="Archivo" w:hAnsi="Archivo" w:cs="Archivo"/>
          <w:sz w:val="16"/>
          <w:szCs w:val="16"/>
        </w:rPr>
        <w:t xml:space="preserve"> </w:t>
      </w:r>
      <w:proofErr w:type="spellStart"/>
      <w:r w:rsidRPr="005E2D5A">
        <w:rPr>
          <w:rFonts w:ascii="Archivo" w:hAnsi="Archivo" w:cs="Archivo"/>
          <w:sz w:val="16"/>
          <w:szCs w:val="16"/>
        </w:rPr>
        <w:t>Irham</w:t>
      </w:r>
      <w:proofErr w:type="spellEnd"/>
      <w:r w:rsidRPr="005E2D5A">
        <w:rPr>
          <w:rFonts w:ascii="Archivo" w:hAnsi="Archivo" w:cs="Archivo"/>
          <w:sz w:val="16"/>
          <w:szCs w:val="16"/>
        </w:rPr>
        <w:t xml:space="preserve"> (2018) Book IX: Survey and monitoring methods bird population </w:t>
      </w:r>
      <w:proofErr w:type="gramStart"/>
      <w:r w:rsidRPr="005E2D5A">
        <w:rPr>
          <w:rFonts w:ascii="Archivo" w:hAnsi="Archivo" w:cs="Archivo"/>
          <w:sz w:val="16"/>
          <w:szCs w:val="16"/>
        </w:rPr>
        <w:t>( LIPI</w:t>
      </w:r>
      <w:proofErr w:type="gramEnd"/>
      <w:r w:rsidRPr="005E2D5A">
        <w:rPr>
          <w:rFonts w:ascii="Archivo" w:hAnsi="Archivo" w:cs="Archivo"/>
          <w:sz w:val="16"/>
          <w:szCs w:val="16"/>
        </w:rPr>
        <w:t xml:space="preserve"> Survey method series and animal population monitoring)</w:t>
      </w:r>
    </w:p>
  </w:footnote>
  <w:footnote w:id="47">
    <w:p w14:paraId="17CADE15" w14:textId="77777777" w:rsidR="00F31CF4" w:rsidRPr="00472600" w:rsidRDefault="00F31CF4" w:rsidP="00F31CF4">
      <w:pPr>
        <w:pStyle w:val="FootnoteText"/>
        <w:rPr>
          <w:rFonts w:ascii="Archivo" w:hAnsi="Archivo" w:cs="Archivo"/>
          <w:sz w:val="16"/>
          <w:szCs w:val="16"/>
        </w:rPr>
      </w:pPr>
      <w:r w:rsidRPr="005E2D5A">
        <w:rPr>
          <w:rStyle w:val="FootnoteReference"/>
          <w:rFonts w:ascii="Archivo" w:hAnsi="Archivo" w:cs="Archivo"/>
          <w:sz w:val="16"/>
          <w:szCs w:val="16"/>
        </w:rPr>
        <w:footnoteRef/>
      </w:r>
      <w:r w:rsidRPr="005E2D5A">
        <w:rPr>
          <w:rFonts w:ascii="Archivo" w:hAnsi="Archivo" w:cs="Archivo"/>
          <w:sz w:val="16"/>
          <w:szCs w:val="16"/>
        </w:rPr>
        <w:t xml:space="preserve"> Harris et al (2015) Using market data and expert opinion to identify overexploited species in the wild bird trade. Biological </w:t>
      </w:r>
      <w:r w:rsidRPr="00472600">
        <w:rPr>
          <w:rFonts w:ascii="Archivo" w:hAnsi="Archivo" w:cs="Archivo"/>
          <w:sz w:val="16"/>
          <w:szCs w:val="16"/>
        </w:rPr>
        <w:t>Conservation. 187:51-60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FAC5" w14:textId="359FCF7E" w:rsidR="00805602" w:rsidRPr="009F4650" w:rsidRDefault="00805602" w:rsidP="009F4650">
    <w:pPr>
      <w:pStyle w:val="Header"/>
    </w:pPr>
    <w:r w:rsidRPr="009F465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26A1" w14:textId="77777777" w:rsidR="009F4650" w:rsidRDefault="009F4650" w:rsidP="009F4650">
    <w:pPr>
      <w:spacing w:before="240" w:after="720"/>
      <w:jc w:val="center"/>
      <w:rPr>
        <w:rFonts w:ascii="Archivo" w:hAnsi="Archivo"/>
        <w:noProof/>
        <w:sz w:val="24"/>
        <w:szCs w:val="24"/>
      </w:rPr>
    </w:pPr>
    <w:r w:rsidRPr="00C20642">
      <w:rPr>
        <w:rFonts w:ascii="Archivo" w:hAnsi="Archivo"/>
        <w:noProof/>
        <w:sz w:val="24"/>
        <w:szCs w:val="24"/>
      </w:rPr>
      <w:drawing>
        <wp:anchor distT="0" distB="0" distL="114300" distR="114300" simplePos="0" relativeHeight="251659264" behindDoc="1" locked="0" layoutInCell="1" allowOverlap="1" wp14:anchorId="11162C2E" wp14:editId="6F4D1993">
          <wp:simplePos x="0" y="0"/>
          <wp:positionH relativeFrom="margin">
            <wp:align>center</wp:align>
          </wp:positionH>
          <wp:positionV relativeFrom="paragraph">
            <wp:posOffset>1447</wp:posOffset>
          </wp:positionV>
          <wp:extent cx="899160" cy="840105"/>
          <wp:effectExtent l="0" t="0" r="0" b="0"/>
          <wp:wrapTight wrapText="bothSides">
            <wp:wrapPolygon edited="0">
              <wp:start x="4119" y="2449"/>
              <wp:lineTo x="0" y="8327"/>
              <wp:lineTo x="0" y="11265"/>
              <wp:lineTo x="5034" y="15184"/>
              <wp:lineTo x="5492" y="16163"/>
              <wp:lineTo x="18763" y="16163"/>
              <wp:lineTo x="21051" y="12735"/>
              <wp:lineTo x="21051" y="4898"/>
              <wp:lineTo x="9153" y="2449"/>
              <wp:lineTo x="4119" y="2449"/>
            </wp:wrapPolygon>
          </wp:wrapTight>
          <wp:docPr id="30" name="Picture 30"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Picture 22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9160" cy="840105"/>
                  </a:xfrm>
                  <a:prstGeom prst="rect">
                    <a:avLst/>
                  </a:prstGeom>
                </pic:spPr>
              </pic:pic>
            </a:graphicData>
          </a:graphic>
          <wp14:sizeRelH relativeFrom="page">
            <wp14:pctWidth>0</wp14:pctWidth>
          </wp14:sizeRelH>
          <wp14:sizeRelV relativeFrom="page">
            <wp14:pctHeight>0</wp14:pctHeight>
          </wp14:sizeRelV>
        </wp:anchor>
      </w:drawing>
    </w:r>
  </w:p>
  <w:p w14:paraId="6B174183" w14:textId="366F14F7" w:rsidR="0090256D" w:rsidRPr="009F4650" w:rsidRDefault="009F4650" w:rsidP="009F4650">
    <w:pPr>
      <w:spacing w:before="240" w:after="240"/>
      <w:jc w:val="center"/>
      <w:rPr>
        <w:rFonts w:ascii="Archivo" w:hAnsi="Archivo" w:cs="Arial"/>
      </w:rPr>
    </w:pPr>
    <w:r>
      <w:rPr>
        <w:rFonts w:ascii="Archivo" w:hAnsi="Archivo" w:cs="Arial"/>
        <w:sz w:val="24"/>
        <w:szCs w:val="24"/>
      </w:rPr>
      <w:t xml:space="preserve">DRAFT </w:t>
    </w:r>
    <w:r w:rsidRPr="00C20642">
      <w:rPr>
        <w:rFonts w:ascii="Archivo" w:hAnsi="Archivo" w:cs="Arial"/>
        <w:sz w:val="24"/>
        <w:szCs w:val="24"/>
      </w:rPr>
      <w:t>GUIDANCE: NON-DETRIMENT FINDINGS</w:t>
    </w:r>
    <w:r w:rsidRPr="00C20642">
      <w:rPr>
        <w:rFonts w:ascii="Archivo" w:hAnsi="Archivo"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A7C"/>
    <w:multiLevelType w:val="hybridMultilevel"/>
    <w:tmpl w:val="55A8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BC7FAE"/>
    <w:multiLevelType w:val="hybridMultilevel"/>
    <w:tmpl w:val="825ED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96B61"/>
    <w:multiLevelType w:val="hybridMultilevel"/>
    <w:tmpl w:val="36D4CB8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94B4F"/>
    <w:multiLevelType w:val="hybridMultilevel"/>
    <w:tmpl w:val="4ED84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9244B"/>
    <w:multiLevelType w:val="multilevel"/>
    <w:tmpl w:val="F058F7A0"/>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C1A52D6"/>
    <w:multiLevelType w:val="multilevel"/>
    <w:tmpl w:val="10CE282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4A46796"/>
    <w:multiLevelType w:val="hybridMultilevel"/>
    <w:tmpl w:val="45DC85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F10382"/>
    <w:multiLevelType w:val="hybridMultilevel"/>
    <w:tmpl w:val="D02483D4"/>
    <w:lvl w:ilvl="0" w:tplc="1B0299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1943953"/>
    <w:multiLevelType w:val="hybridMultilevel"/>
    <w:tmpl w:val="597EAF4C"/>
    <w:lvl w:ilvl="0" w:tplc="1D20CEFC">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374EE"/>
    <w:multiLevelType w:val="hybridMultilevel"/>
    <w:tmpl w:val="C1649A00"/>
    <w:lvl w:ilvl="0" w:tplc="D6FC1D8C">
      <w:start w:val="1"/>
      <w:numFmt w:val="bullet"/>
      <w:pStyle w:val="ECECBulletedLis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321639"/>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6572A01"/>
    <w:multiLevelType w:val="hybridMultilevel"/>
    <w:tmpl w:val="6A8CD826"/>
    <w:lvl w:ilvl="0" w:tplc="752CB6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1562E0"/>
    <w:multiLevelType w:val="hybridMultilevel"/>
    <w:tmpl w:val="97D2EB2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345074"/>
    <w:multiLevelType w:val="hybridMultilevel"/>
    <w:tmpl w:val="959AC50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20A020A"/>
    <w:multiLevelType w:val="hybridMultilevel"/>
    <w:tmpl w:val="BF94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06F85"/>
    <w:multiLevelType w:val="multilevel"/>
    <w:tmpl w:val="10CE282A"/>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55B662E4"/>
    <w:multiLevelType w:val="hybridMultilevel"/>
    <w:tmpl w:val="6E7264F8"/>
    <w:lvl w:ilvl="0" w:tplc="3D8A2F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055FB4"/>
    <w:multiLevelType w:val="hybridMultilevel"/>
    <w:tmpl w:val="A3C692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F0DE11A2">
      <w:start w:val="1"/>
      <w:numFmt w:val="bullet"/>
      <w:pStyle w:val="HaAufzhlung"/>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2E0BC4"/>
    <w:multiLevelType w:val="hybridMultilevel"/>
    <w:tmpl w:val="D57A4EA8"/>
    <w:lvl w:ilvl="0" w:tplc="F29E589C">
      <w:start w:val="1"/>
      <w:numFmt w:val="decimal"/>
      <w:pStyle w:val="ECECNumberedList"/>
      <w:lvlText w:val="%1."/>
      <w:lvlJc w:val="left"/>
      <w:pPr>
        <w:tabs>
          <w:tab w:val="num" w:pos="720"/>
        </w:tabs>
        <w:ind w:left="720" w:hanging="360"/>
      </w:pPr>
      <w:rPr>
        <w:rFonts w:hint="default"/>
        <w:sz w:val="22"/>
        <w:szCs w:val="22"/>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5703E53"/>
    <w:multiLevelType w:val="hybridMultilevel"/>
    <w:tmpl w:val="E5F47BE2"/>
    <w:lvl w:ilvl="0" w:tplc="2E468C40">
      <w:start w:val="1"/>
      <w:numFmt w:val="lowerLetter"/>
      <w:pStyle w:val="ECEClist-level2"/>
      <w:lvlText w:val="%1)"/>
      <w:lvlJc w:val="left"/>
      <w:pPr>
        <w:ind w:left="1494" w:hanging="360"/>
      </w:pPr>
      <w:rPr>
        <w:rFonts w:hint="default"/>
        <w:sz w:val="22"/>
        <w:szCs w:val="22"/>
      </w:rPr>
    </w:lvl>
    <w:lvl w:ilvl="1" w:tplc="0409000F">
      <w:start w:val="1"/>
      <w:numFmt w:val="decimal"/>
      <w:lvlText w:val="%2."/>
      <w:lvlJc w:val="left"/>
      <w:pPr>
        <w:ind w:left="2574" w:hanging="360"/>
      </w:pPr>
      <w:rPr>
        <w:rFonts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6E8A6B40"/>
    <w:multiLevelType w:val="hybridMultilevel"/>
    <w:tmpl w:val="8BF014A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4DE49D9"/>
    <w:multiLevelType w:val="hybridMultilevel"/>
    <w:tmpl w:val="B0DEE7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145C3D"/>
    <w:multiLevelType w:val="multilevel"/>
    <w:tmpl w:val="34A61BD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none"/>
      <w:lvlText w:val="3%3.1.1."/>
      <w:lvlJc w:val="left"/>
      <w:pPr>
        <w:ind w:left="1800" w:hanging="36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635140540">
    <w:abstractNumId w:val="9"/>
  </w:num>
  <w:num w:numId="2" w16cid:durableId="1160534747">
    <w:abstractNumId w:val="18"/>
  </w:num>
  <w:num w:numId="3" w16cid:durableId="1345985050">
    <w:abstractNumId w:val="19"/>
  </w:num>
  <w:num w:numId="4" w16cid:durableId="543173764">
    <w:abstractNumId w:val="1"/>
  </w:num>
  <w:num w:numId="5" w16cid:durableId="551884954">
    <w:abstractNumId w:val="20"/>
  </w:num>
  <w:num w:numId="6" w16cid:durableId="209919351">
    <w:abstractNumId w:val="16"/>
  </w:num>
  <w:num w:numId="7" w16cid:durableId="1388184552">
    <w:abstractNumId w:val="6"/>
  </w:num>
  <w:num w:numId="8" w16cid:durableId="2130467096">
    <w:abstractNumId w:val="14"/>
  </w:num>
  <w:num w:numId="9" w16cid:durableId="971591147">
    <w:abstractNumId w:val="11"/>
  </w:num>
  <w:num w:numId="10" w16cid:durableId="1501505972">
    <w:abstractNumId w:val="13"/>
  </w:num>
  <w:num w:numId="11" w16cid:durableId="166409558">
    <w:abstractNumId w:val="21"/>
  </w:num>
  <w:num w:numId="12" w16cid:durableId="1163010270">
    <w:abstractNumId w:val="2"/>
  </w:num>
  <w:num w:numId="13" w16cid:durableId="465120606">
    <w:abstractNumId w:val="0"/>
  </w:num>
  <w:num w:numId="14" w16cid:durableId="736053751">
    <w:abstractNumId w:val="12"/>
  </w:num>
  <w:num w:numId="15" w16cid:durableId="997227470">
    <w:abstractNumId w:val="8"/>
  </w:num>
  <w:num w:numId="16" w16cid:durableId="1003629144">
    <w:abstractNumId w:val="17"/>
  </w:num>
  <w:num w:numId="17" w16cid:durableId="1980062985">
    <w:abstractNumId w:val="10"/>
  </w:num>
  <w:num w:numId="18" w16cid:durableId="520583499">
    <w:abstractNumId w:val="7"/>
  </w:num>
  <w:num w:numId="19" w16cid:durableId="1404646856">
    <w:abstractNumId w:val="22"/>
  </w:num>
  <w:num w:numId="20" w16cid:durableId="773746424">
    <w:abstractNumId w:val="15"/>
  </w:num>
  <w:num w:numId="21" w16cid:durableId="885064838">
    <w:abstractNumId w:val="3"/>
  </w:num>
  <w:num w:numId="22" w16cid:durableId="400173600">
    <w:abstractNumId w:val="5"/>
  </w:num>
  <w:num w:numId="23" w16cid:durableId="80230880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F4"/>
    <w:rsid w:val="00002060"/>
    <w:rsid w:val="0000259E"/>
    <w:rsid w:val="00006CA0"/>
    <w:rsid w:val="00034CEB"/>
    <w:rsid w:val="000556B2"/>
    <w:rsid w:val="0006122A"/>
    <w:rsid w:val="00063ACA"/>
    <w:rsid w:val="000709A3"/>
    <w:rsid w:val="00072EF0"/>
    <w:rsid w:val="000A0DA6"/>
    <w:rsid w:val="000B5B47"/>
    <w:rsid w:val="000B7F14"/>
    <w:rsid w:val="000E70D3"/>
    <w:rsid w:val="000F52BD"/>
    <w:rsid w:val="00114D8B"/>
    <w:rsid w:val="0012383D"/>
    <w:rsid w:val="00126386"/>
    <w:rsid w:val="00145C4B"/>
    <w:rsid w:val="0015689A"/>
    <w:rsid w:val="00165247"/>
    <w:rsid w:val="00193DB5"/>
    <w:rsid w:val="001C1A5F"/>
    <w:rsid w:val="002226FB"/>
    <w:rsid w:val="00233FFD"/>
    <w:rsid w:val="00284851"/>
    <w:rsid w:val="0028738C"/>
    <w:rsid w:val="002B05FD"/>
    <w:rsid w:val="002C3A6F"/>
    <w:rsid w:val="002C4D81"/>
    <w:rsid w:val="003003CD"/>
    <w:rsid w:val="00317059"/>
    <w:rsid w:val="00323B8D"/>
    <w:rsid w:val="00347761"/>
    <w:rsid w:val="00372DE2"/>
    <w:rsid w:val="00395D0E"/>
    <w:rsid w:val="003D13AB"/>
    <w:rsid w:val="00411D77"/>
    <w:rsid w:val="00412B29"/>
    <w:rsid w:val="00414DE8"/>
    <w:rsid w:val="00435ECA"/>
    <w:rsid w:val="00440CA1"/>
    <w:rsid w:val="00472600"/>
    <w:rsid w:val="0047417F"/>
    <w:rsid w:val="004C0BDC"/>
    <w:rsid w:val="004F50B6"/>
    <w:rsid w:val="00501A99"/>
    <w:rsid w:val="005514E3"/>
    <w:rsid w:val="005773BD"/>
    <w:rsid w:val="005A021C"/>
    <w:rsid w:val="005C0A19"/>
    <w:rsid w:val="005E21C5"/>
    <w:rsid w:val="005E2D5A"/>
    <w:rsid w:val="0061015E"/>
    <w:rsid w:val="00610A3F"/>
    <w:rsid w:val="00621062"/>
    <w:rsid w:val="00624CD5"/>
    <w:rsid w:val="00663AC1"/>
    <w:rsid w:val="00667BE3"/>
    <w:rsid w:val="00675FCE"/>
    <w:rsid w:val="00683C2D"/>
    <w:rsid w:val="00696109"/>
    <w:rsid w:val="006D5D8E"/>
    <w:rsid w:val="006D79FB"/>
    <w:rsid w:val="006F37F6"/>
    <w:rsid w:val="00717232"/>
    <w:rsid w:val="00736565"/>
    <w:rsid w:val="007861EF"/>
    <w:rsid w:val="00792BBC"/>
    <w:rsid w:val="007B04F9"/>
    <w:rsid w:val="00805602"/>
    <w:rsid w:val="00821CF7"/>
    <w:rsid w:val="0083077F"/>
    <w:rsid w:val="008677CC"/>
    <w:rsid w:val="00876211"/>
    <w:rsid w:val="008779D5"/>
    <w:rsid w:val="00880D9E"/>
    <w:rsid w:val="0089766E"/>
    <w:rsid w:val="008D51C8"/>
    <w:rsid w:val="008E66A5"/>
    <w:rsid w:val="0090256D"/>
    <w:rsid w:val="0091600A"/>
    <w:rsid w:val="009173F0"/>
    <w:rsid w:val="009367D1"/>
    <w:rsid w:val="00947CE0"/>
    <w:rsid w:val="00961200"/>
    <w:rsid w:val="00977D96"/>
    <w:rsid w:val="00996100"/>
    <w:rsid w:val="009B2983"/>
    <w:rsid w:val="009C4801"/>
    <w:rsid w:val="009F4650"/>
    <w:rsid w:val="00A05D77"/>
    <w:rsid w:val="00A146DF"/>
    <w:rsid w:val="00A33195"/>
    <w:rsid w:val="00A61BDA"/>
    <w:rsid w:val="00A63E63"/>
    <w:rsid w:val="00A86DD4"/>
    <w:rsid w:val="00A95156"/>
    <w:rsid w:val="00AA0E7B"/>
    <w:rsid w:val="00AB2832"/>
    <w:rsid w:val="00AD5A4C"/>
    <w:rsid w:val="00AE1F6D"/>
    <w:rsid w:val="00AE258A"/>
    <w:rsid w:val="00AE7985"/>
    <w:rsid w:val="00AF2E91"/>
    <w:rsid w:val="00B34C42"/>
    <w:rsid w:val="00B46B77"/>
    <w:rsid w:val="00B51799"/>
    <w:rsid w:val="00B73D85"/>
    <w:rsid w:val="00B942FC"/>
    <w:rsid w:val="00BA419B"/>
    <w:rsid w:val="00BA6665"/>
    <w:rsid w:val="00BA6D11"/>
    <w:rsid w:val="00BD7F88"/>
    <w:rsid w:val="00BF437F"/>
    <w:rsid w:val="00C06D95"/>
    <w:rsid w:val="00C15C06"/>
    <w:rsid w:val="00C44F40"/>
    <w:rsid w:val="00C51993"/>
    <w:rsid w:val="00C63ABA"/>
    <w:rsid w:val="00C85B92"/>
    <w:rsid w:val="00C926C0"/>
    <w:rsid w:val="00C93F4E"/>
    <w:rsid w:val="00C947F0"/>
    <w:rsid w:val="00CA4BA6"/>
    <w:rsid w:val="00CB690F"/>
    <w:rsid w:val="00CC2581"/>
    <w:rsid w:val="00CD4EFF"/>
    <w:rsid w:val="00CF1B97"/>
    <w:rsid w:val="00CF7D83"/>
    <w:rsid w:val="00D054CE"/>
    <w:rsid w:val="00D46645"/>
    <w:rsid w:val="00D72D9A"/>
    <w:rsid w:val="00D85653"/>
    <w:rsid w:val="00D96D86"/>
    <w:rsid w:val="00DB102A"/>
    <w:rsid w:val="00DB2B01"/>
    <w:rsid w:val="00DC0ACE"/>
    <w:rsid w:val="00DC515B"/>
    <w:rsid w:val="00DD7621"/>
    <w:rsid w:val="00DE2017"/>
    <w:rsid w:val="00DF24AC"/>
    <w:rsid w:val="00DF4B52"/>
    <w:rsid w:val="00E23AB0"/>
    <w:rsid w:val="00E23AD3"/>
    <w:rsid w:val="00E429EB"/>
    <w:rsid w:val="00E6388F"/>
    <w:rsid w:val="00E652C9"/>
    <w:rsid w:val="00E9340C"/>
    <w:rsid w:val="00EA4AFC"/>
    <w:rsid w:val="00EA7752"/>
    <w:rsid w:val="00EC0EAA"/>
    <w:rsid w:val="00F06324"/>
    <w:rsid w:val="00F11A47"/>
    <w:rsid w:val="00F30873"/>
    <w:rsid w:val="00F3094F"/>
    <w:rsid w:val="00F3121E"/>
    <w:rsid w:val="00F31CF4"/>
    <w:rsid w:val="00F406B6"/>
    <w:rsid w:val="00F44441"/>
    <w:rsid w:val="00F551DB"/>
    <w:rsid w:val="00F55571"/>
    <w:rsid w:val="00F84175"/>
    <w:rsid w:val="00F951C0"/>
    <w:rsid w:val="00FE07BF"/>
    <w:rsid w:val="00FE1DBF"/>
    <w:rsid w:val="00FE6B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29291"/>
  <w15:chartTrackingRefBased/>
  <w15:docId w15:val="{BD4C13A4-0D92-0942-A4DE-0CC84F6C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F4"/>
    <w:pPr>
      <w:spacing w:after="160" w:line="259" w:lineRule="auto"/>
    </w:pPr>
    <w:rPr>
      <w:kern w:val="2"/>
      <w:sz w:val="22"/>
      <w:szCs w:val="22"/>
      <w:lang w:val="en-GB"/>
      <w14:ligatures w14:val="standardContextual"/>
    </w:rPr>
  </w:style>
  <w:style w:type="paragraph" w:styleId="Heading1">
    <w:name w:val="heading 1"/>
    <w:aliases w:val="ECEC Head 1,CEC Head 1"/>
    <w:basedOn w:val="Normal"/>
    <w:next w:val="Normal"/>
    <w:link w:val="Heading1Char"/>
    <w:uiPriority w:val="9"/>
    <w:qFormat/>
    <w:rsid w:val="00F31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ECEC Head 2,CEC Head 2"/>
    <w:basedOn w:val="Normal"/>
    <w:next w:val="Normal"/>
    <w:link w:val="Heading2Char"/>
    <w:uiPriority w:val="9"/>
    <w:unhideWhenUsed/>
    <w:qFormat/>
    <w:rsid w:val="00F31C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ECEC Head 3,CEC Head 3"/>
    <w:basedOn w:val="Normal"/>
    <w:next w:val="Normal"/>
    <w:link w:val="Heading3Char"/>
    <w:uiPriority w:val="9"/>
    <w:unhideWhenUsed/>
    <w:qFormat/>
    <w:rsid w:val="00F31C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ECEC Head 4,CEC Head 4"/>
    <w:basedOn w:val="Normal"/>
    <w:next w:val="Normal"/>
    <w:link w:val="Heading4Char"/>
    <w:uiPriority w:val="9"/>
    <w:unhideWhenUsed/>
    <w:qFormat/>
    <w:rsid w:val="00F31CF4"/>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unhideWhenUsed/>
    <w:qFormat/>
    <w:rsid w:val="00F31CF4"/>
    <w:pPr>
      <w:keepNext/>
      <w:keepLines/>
      <w:spacing w:before="220" w:after="40"/>
      <w:outlineLvl w:val="4"/>
    </w:pPr>
    <w:rPr>
      <w:rFonts w:ascii="Calibri" w:eastAsia="Calibri" w:hAnsi="Calibri" w:cs="Calibri"/>
      <w:b/>
      <w:kern w:val="0"/>
      <w:lang w:eastAsia="en-GB"/>
      <w14:ligatures w14:val="none"/>
    </w:rPr>
  </w:style>
  <w:style w:type="paragraph" w:styleId="Heading6">
    <w:name w:val="heading 6"/>
    <w:basedOn w:val="Normal"/>
    <w:next w:val="Normal"/>
    <w:link w:val="Heading6Char"/>
    <w:uiPriority w:val="9"/>
    <w:unhideWhenUsed/>
    <w:qFormat/>
    <w:rsid w:val="00F31CF4"/>
    <w:pPr>
      <w:keepNext/>
      <w:keepLines/>
      <w:spacing w:before="200" w:after="40"/>
      <w:outlineLvl w:val="5"/>
    </w:pPr>
    <w:rPr>
      <w:rFonts w:ascii="Calibri" w:eastAsia="Calibri" w:hAnsi="Calibri" w:cs="Calibri"/>
      <w:b/>
      <w:kern w:val="0"/>
      <w:sz w:val="20"/>
      <w:szCs w:val="20"/>
      <w:lang w:eastAsia="en-GB"/>
      <w14:ligatures w14:val="none"/>
    </w:rPr>
  </w:style>
  <w:style w:type="paragraph" w:styleId="Heading7">
    <w:name w:val="heading 7"/>
    <w:basedOn w:val="Normal"/>
    <w:next w:val="Normal"/>
    <w:link w:val="Heading7Char"/>
    <w:uiPriority w:val="9"/>
    <w:qFormat/>
    <w:rsid w:val="00F31CF4"/>
    <w:pPr>
      <w:keepNext/>
      <w:keepLines/>
      <w:spacing w:before="40" w:after="0" w:line="240" w:lineRule="auto"/>
      <w:outlineLvl w:val="6"/>
    </w:pPr>
    <w:rPr>
      <w:rFonts w:asciiTheme="majorHAnsi" w:eastAsiaTheme="majorEastAsia" w:hAnsiTheme="majorHAnsi" w:cstheme="majorBidi"/>
      <w:i/>
      <w:iCs/>
      <w:color w:val="1F3763" w:themeColor="accent1" w:themeShade="7F"/>
      <w:kern w:val="0"/>
      <w:sz w:val="24"/>
      <w:szCs w:val="24"/>
      <w:lang w:val="en-US"/>
      <w14:ligatures w14:val="none"/>
    </w:rPr>
  </w:style>
  <w:style w:type="paragraph" w:styleId="Heading8">
    <w:name w:val="heading 8"/>
    <w:basedOn w:val="Normal"/>
    <w:next w:val="Normal"/>
    <w:link w:val="Heading8Char"/>
    <w:rsid w:val="00F31CF4"/>
    <w:pPr>
      <w:keepNext/>
      <w:keepLines/>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semiHidden/>
    <w:unhideWhenUsed/>
    <w:rsid w:val="00F31CF4"/>
    <w:pPr>
      <w:keepNext/>
      <w:keepLines/>
      <w:spacing w:before="40" w:after="0" w:line="240" w:lineRule="auto"/>
      <w:outlineLvl w:val="8"/>
    </w:pPr>
    <w:rPr>
      <w:rFonts w:asciiTheme="majorHAnsi" w:eastAsiaTheme="majorEastAsia" w:hAnsiTheme="majorHAnsi" w:cstheme="majorBidi"/>
      <w:i/>
      <w:iCs/>
      <w:color w:val="272727" w:themeColor="text1" w:themeTint="D8"/>
      <w:kern w:val="0"/>
      <w:sz w:val="21"/>
      <w:szCs w:val="21"/>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EC Head 1 Char,CEC Head 1 Char"/>
    <w:basedOn w:val="DefaultParagraphFont"/>
    <w:link w:val="Heading1"/>
    <w:uiPriority w:val="9"/>
    <w:rsid w:val="00F31CF4"/>
    <w:rPr>
      <w:rFonts w:asciiTheme="majorHAnsi" w:eastAsiaTheme="majorEastAsia" w:hAnsiTheme="majorHAnsi" w:cstheme="majorBidi"/>
      <w:color w:val="2F5496" w:themeColor="accent1" w:themeShade="BF"/>
      <w:kern w:val="2"/>
      <w:sz w:val="32"/>
      <w:szCs w:val="32"/>
      <w:lang w:val="en-GB"/>
      <w14:ligatures w14:val="standardContextual"/>
    </w:rPr>
  </w:style>
  <w:style w:type="character" w:customStyle="1" w:styleId="Heading2Char">
    <w:name w:val="Heading 2 Char"/>
    <w:aliases w:val="ECEC Head 2 Char,CEC Head 2 Char"/>
    <w:basedOn w:val="DefaultParagraphFont"/>
    <w:link w:val="Heading2"/>
    <w:uiPriority w:val="9"/>
    <w:rsid w:val="00F31CF4"/>
    <w:rPr>
      <w:rFonts w:asciiTheme="majorHAnsi" w:eastAsiaTheme="majorEastAsia" w:hAnsiTheme="majorHAnsi" w:cstheme="majorBidi"/>
      <w:color w:val="2F5496" w:themeColor="accent1" w:themeShade="BF"/>
      <w:kern w:val="2"/>
      <w:sz w:val="26"/>
      <w:szCs w:val="26"/>
      <w:lang w:val="en-GB"/>
      <w14:ligatures w14:val="standardContextual"/>
    </w:rPr>
  </w:style>
  <w:style w:type="character" w:customStyle="1" w:styleId="Heading3Char">
    <w:name w:val="Heading 3 Char"/>
    <w:aliases w:val="ECEC Head 3 Char,CEC Head 3 Char"/>
    <w:basedOn w:val="DefaultParagraphFont"/>
    <w:link w:val="Heading3"/>
    <w:uiPriority w:val="9"/>
    <w:rsid w:val="00F31CF4"/>
    <w:rPr>
      <w:rFonts w:asciiTheme="majorHAnsi" w:eastAsiaTheme="majorEastAsia" w:hAnsiTheme="majorHAnsi" w:cstheme="majorBidi"/>
      <w:color w:val="1F3763" w:themeColor="accent1" w:themeShade="7F"/>
      <w:kern w:val="2"/>
      <w:lang w:val="en-GB"/>
      <w14:ligatures w14:val="standardContextual"/>
    </w:rPr>
  </w:style>
  <w:style w:type="character" w:customStyle="1" w:styleId="Heading4Char">
    <w:name w:val="Heading 4 Char"/>
    <w:aliases w:val="ECEC Head 4 Char,CEC Head 4 Char"/>
    <w:basedOn w:val="DefaultParagraphFont"/>
    <w:link w:val="Heading4"/>
    <w:uiPriority w:val="9"/>
    <w:rsid w:val="00F31CF4"/>
    <w:rPr>
      <w:rFonts w:asciiTheme="majorHAnsi" w:eastAsiaTheme="majorEastAsia" w:hAnsiTheme="majorHAnsi" w:cstheme="majorBidi"/>
      <w:i/>
      <w:iCs/>
      <w:color w:val="2F5496" w:themeColor="accent1" w:themeShade="BF"/>
      <w:sz w:val="22"/>
      <w:szCs w:val="22"/>
      <w:lang w:val="en-GB"/>
    </w:rPr>
  </w:style>
  <w:style w:type="character" w:customStyle="1" w:styleId="Heading5Char">
    <w:name w:val="Heading 5 Char"/>
    <w:basedOn w:val="DefaultParagraphFont"/>
    <w:link w:val="Heading5"/>
    <w:uiPriority w:val="9"/>
    <w:rsid w:val="00F31CF4"/>
    <w:rPr>
      <w:rFonts w:ascii="Calibri" w:eastAsia="Calibri" w:hAnsi="Calibri" w:cs="Calibri"/>
      <w:b/>
      <w:sz w:val="22"/>
      <w:szCs w:val="22"/>
      <w:lang w:val="en-GB" w:eastAsia="en-GB"/>
    </w:rPr>
  </w:style>
  <w:style w:type="character" w:customStyle="1" w:styleId="Heading6Char">
    <w:name w:val="Heading 6 Char"/>
    <w:basedOn w:val="DefaultParagraphFont"/>
    <w:link w:val="Heading6"/>
    <w:uiPriority w:val="9"/>
    <w:rsid w:val="00F31CF4"/>
    <w:rPr>
      <w:rFonts w:ascii="Calibri" w:eastAsia="Calibri" w:hAnsi="Calibri" w:cs="Calibri"/>
      <w:b/>
      <w:sz w:val="20"/>
      <w:szCs w:val="20"/>
      <w:lang w:val="en-GB" w:eastAsia="en-GB"/>
    </w:rPr>
  </w:style>
  <w:style w:type="character" w:customStyle="1" w:styleId="Heading7Char">
    <w:name w:val="Heading 7 Char"/>
    <w:basedOn w:val="DefaultParagraphFont"/>
    <w:link w:val="Heading7"/>
    <w:uiPriority w:val="9"/>
    <w:rsid w:val="00F31CF4"/>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rsid w:val="00F31CF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semiHidden/>
    <w:rsid w:val="00F31CF4"/>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F31CF4"/>
    <w:pPr>
      <w:ind w:left="720"/>
      <w:contextualSpacing/>
    </w:pPr>
  </w:style>
  <w:style w:type="character" w:styleId="Hyperlink">
    <w:name w:val="Hyperlink"/>
    <w:basedOn w:val="DefaultParagraphFont"/>
    <w:uiPriority w:val="99"/>
    <w:unhideWhenUsed/>
    <w:rsid w:val="00F31CF4"/>
    <w:rPr>
      <w:color w:val="0000FF"/>
      <w:u w:val="single"/>
    </w:rPr>
  </w:style>
  <w:style w:type="character" w:customStyle="1" w:styleId="UnresolvedMention1">
    <w:name w:val="Unresolved Mention1"/>
    <w:basedOn w:val="DefaultParagraphFont"/>
    <w:uiPriority w:val="99"/>
    <w:semiHidden/>
    <w:unhideWhenUsed/>
    <w:rsid w:val="00F31CF4"/>
    <w:rPr>
      <w:color w:val="605E5C"/>
      <w:shd w:val="clear" w:color="auto" w:fill="E1DFDD"/>
    </w:rPr>
  </w:style>
  <w:style w:type="table" w:styleId="TableGrid">
    <w:name w:val="Table Grid"/>
    <w:basedOn w:val="TableNormal"/>
    <w:uiPriority w:val="59"/>
    <w:rsid w:val="00F31CF4"/>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ECEC,CEC"/>
    <w:basedOn w:val="Normal"/>
    <w:link w:val="FootnoteTextChar"/>
    <w:uiPriority w:val="99"/>
    <w:unhideWhenUsed/>
    <w:qFormat/>
    <w:rsid w:val="00F31CF4"/>
    <w:pPr>
      <w:spacing w:after="0" w:line="240" w:lineRule="auto"/>
    </w:pPr>
    <w:rPr>
      <w:sz w:val="20"/>
      <w:szCs w:val="20"/>
    </w:rPr>
  </w:style>
  <w:style w:type="character" w:customStyle="1" w:styleId="FootnoteTextChar">
    <w:name w:val="Footnote Text Char"/>
    <w:aliases w:val="ECEC Char,CEC Char"/>
    <w:basedOn w:val="DefaultParagraphFont"/>
    <w:link w:val="FootnoteText"/>
    <w:uiPriority w:val="99"/>
    <w:rsid w:val="00F31CF4"/>
    <w:rPr>
      <w:kern w:val="2"/>
      <w:sz w:val="20"/>
      <w:szCs w:val="20"/>
      <w:lang w:val="en-GB"/>
      <w14:ligatures w14:val="standardContextual"/>
    </w:rPr>
  </w:style>
  <w:style w:type="character" w:styleId="FootnoteReference">
    <w:name w:val="footnote reference"/>
    <w:aliases w:val="ECEC Footnote Reference,CEC Footnote Reference"/>
    <w:basedOn w:val="DefaultParagraphFont"/>
    <w:uiPriority w:val="99"/>
    <w:unhideWhenUsed/>
    <w:qFormat/>
    <w:rsid w:val="00F31CF4"/>
    <w:rPr>
      <w:vertAlign w:val="superscript"/>
    </w:rPr>
  </w:style>
  <w:style w:type="character" w:styleId="Emphasis">
    <w:name w:val="Emphasis"/>
    <w:basedOn w:val="DefaultParagraphFont"/>
    <w:uiPriority w:val="20"/>
    <w:qFormat/>
    <w:rsid w:val="00F31CF4"/>
    <w:rPr>
      <w:i/>
      <w:iCs/>
    </w:rPr>
  </w:style>
  <w:style w:type="paragraph" w:styleId="Header">
    <w:name w:val="header"/>
    <w:aliases w:val="CEC Header"/>
    <w:basedOn w:val="Normal"/>
    <w:link w:val="HeaderChar"/>
    <w:uiPriority w:val="99"/>
    <w:unhideWhenUsed/>
    <w:rsid w:val="00F31CF4"/>
    <w:pPr>
      <w:tabs>
        <w:tab w:val="center" w:pos="4680"/>
        <w:tab w:val="right" w:pos="9360"/>
      </w:tabs>
      <w:spacing w:after="0" w:line="240" w:lineRule="auto"/>
    </w:pPr>
  </w:style>
  <w:style w:type="character" w:customStyle="1" w:styleId="HeaderChar">
    <w:name w:val="Header Char"/>
    <w:aliases w:val="CEC Header Char"/>
    <w:basedOn w:val="DefaultParagraphFont"/>
    <w:link w:val="Header"/>
    <w:uiPriority w:val="99"/>
    <w:rsid w:val="00F31CF4"/>
    <w:rPr>
      <w:kern w:val="2"/>
      <w:sz w:val="22"/>
      <w:szCs w:val="22"/>
      <w:lang w:val="en-GB"/>
      <w14:ligatures w14:val="standardContextual"/>
    </w:rPr>
  </w:style>
  <w:style w:type="paragraph" w:styleId="Footer">
    <w:name w:val="footer"/>
    <w:aliases w:val="CEC footer"/>
    <w:basedOn w:val="Normal"/>
    <w:link w:val="FooterChar"/>
    <w:uiPriority w:val="99"/>
    <w:unhideWhenUsed/>
    <w:rsid w:val="00F31CF4"/>
    <w:pPr>
      <w:tabs>
        <w:tab w:val="center" w:pos="4680"/>
        <w:tab w:val="right" w:pos="9360"/>
      </w:tabs>
      <w:spacing w:after="0" w:line="240" w:lineRule="auto"/>
    </w:pPr>
  </w:style>
  <w:style w:type="character" w:customStyle="1" w:styleId="FooterChar">
    <w:name w:val="Footer Char"/>
    <w:aliases w:val="CEC footer Char"/>
    <w:basedOn w:val="DefaultParagraphFont"/>
    <w:link w:val="Footer"/>
    <w:uiPriority w:val="99"/>
    <w:rsid w:val="00F31CF4"/>
    <w:rPr>
      <w:kern w:val="2"/>
      <w:sz w:val="22"/>
      <w:szCs w:val="22"/>
      <w:lang w:val="en-GB"/>
      <w14:ligatures w14:val="standardContextual"/>
    </w:rPr>
  </w:style>
  <w:style w:type="paragraph" w:styleId="TOC1">
    <w:name w:val="toc 1"/>
    <w:aliases w:val="CEC-TOC 1"/>
    <w:basedOn w:val="Normal"/>
    <w:next w:val="Normal"/>
    <w:autoRedefine/>
    <w:uiPriority w:val="39"/>
    <w:unhideWhenUsed/>
    <w:rsid w:val="00F31CF4"/>
    <w:pPr>
      <w:tabs>
        <w:tab w:val="right" w:leader="dot" w:pos="9016"/>
      </w:tabs>
      <w:spacing w:after="100"/>
      <w:ind w:left="220"/>
    </w:pPr>
    <w:rPr>
      <w:b/>
      <w:bCs/>
      <w:noProof/>
    </w:rPr>
  </w:style>
  <w:style w:type="paragraph" w:styleId="Revision">
    <w:name w:val="Revision"/>
    <w:hidden/>
    <w:uiPriority w:val="99"/>
    <w:semiHidden/>
    <w:rsid w:val="00F31CF4"/>
    <w:rPr>
      <w:kern w:val="2"/>
      <w:sz w:val="22"/>
      <w:szCs w:val="22"/>
      <w:lang w:val="en-GB"/>
      <w14:ligatures w14:val="standardContextual"/>
    </w:rPr>
  </w:style>
  <w:style w:type="character" w:styleId="CommentReference">
    <w:name w:val="annotation reference"/>
    <w:basedOn w:val="DefaultParagraphFont"/>
    <w:uiPriority w:val="99"/>
    <w:unhideWhenUsed/>
    <w:qFormat/>
    <w:rsid w:val="00F31CF4"/>
    <w:rPr>
      <w:sz w:val="16"/>
      <w:szCs w:val="16"/>
    </w:rPr>
  </w:style>
  <w:style w:type="paragraph" w:styleId="CommentText">
    <w:name w:val="annotation text"/>
    <w:basedOn w:val="Normal"/>
    <w:link w:val="CommentTextChar"/>
    <w:uiPriority w:val="99"/>
    <w:unhideWhenUsed/>
    <w:qFormat/>
    <w:rsid w:val="00F31CF4"/>
    <w:pPr>
      <w:spacing w:line="240" w:lineRule="auto"/>
    </w:pPr>
    <w:rPr>
      <w:sz w:val="20"/>
      <w:szCs w:val="20"/>
    </w:rPr>
  </w:style>
  <w:style w:type="character" w:customStyle="1" w:styleId="CommentTextChar">
    <w:name w:val="Comment Text Char"/>
    <w:basedOn w:val="DefaultParagraphFont"/>
    <w:link w:val="CommentText"/>
    <w:uiPriority w:val="99"/>
    <w:qFormat/>
    <w:rsid w:val="00F31CF4"/>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rsid w:val="00F31CF4"/>
    <w:rPr>
      <w:b/>
      <w:bCs/>
    </w:rPr>
  </w:style>
  <w:style w:type="character" w:customStyle="1" w:styleId="CommentSubjectChar">
    <w:name w:val="Comment Subject Char"/>
    <w:basedOn w:val="CommentTextChar"/>
    <w:link w:val="CommentSubject"/>
    <w:uiPriority w:val="99"/>
    <w:semiHidden/>
    <w:rsid w:val="00F31CF4"/>
    <w:rPr>
      <w:b/>
      <w:bCs/>
      <w:kern w:val="2"/>
      <w:sz w:val="20"/>
      <w:szCs w:val="20"/>
      <w:lang w:val="en-GB"/>
      <w14:ligatures w14:val="standardContextual"/>
    </w:rPr>
  </w:style>
  <w:style w:type="table" w:customStyle="1" w:styleId="TableGrid0">
    <w:name w:val="TableGrid"/>
    <w:rsid w:val="00F31CF4"/>
    <w:rPr>
      <w:rFonts w:eastAsiaTheme="minorEastAsia"/>
      <w:kern w:val="2"/>
      <w:sz w:val="22"/>
      <w:szCs w:val="22"/>
      <w:lang w:val="en-GB" w:eastAsia="en-GB"/>
      <w14:ligatures w14:val="standardContextual"/>
    </w:rPr>
    <w:tblPr>
      <w:tblCellMar>
        <w:top w:w="0" w:type="dxa"/>
        <w:left w:w="0" w:type="dxa"/>
        <w:bottom w:w="0" w:type="dxa"/>
        <w:right w:w="0" w:type="dxa"/>
      </w:tblCellMar>
    </w:tblPr>
  </w:style>
  <w:style w:type="character" w:customStyle="1" w:styleId="cf01">
    <w:name w:val="cf01"/>
    <w:basedOn w:val="DefaultParagraphFont"/>
    <w:rsid w:val="00F31CF4"/>
    <w:rPr>
      <w:rFonts w:ascii="Segoe UI" w:hAnsi="Segoe UI" w:cs="Segoe UI" w:hint="default"/>
      <w:sz w:val="18"/>
      <w:szCs w:val="18"/>
    </w:rPr>
  </w:style>
  <w:style w:type="table" w:customStyle="1" w:styleId="TableGrid1">
    <w:name w:val="Table Grid1"/>
    <w:basedOn w:val="TableNormal"/>
    <w:next w:val="TableGrid"/>
    <w:uiPriority w:val="39"/>
    <w:rsid w:val="00F31CF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C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unhideWhenUsed/>
    <w:rsid w:val="00F31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31CF4"/>
    <w:rPr>
      <w:rFonts w:ascii="Segoe UI" w:hAnsi="Segoe UI" w:cs="Segoe UI"/>
      <w:kern w:val="2"/>
      <w:sz w:val="18"/>
      <w:szCs w:val="18"/>
      <w:lang w:val="en-GB"/>
      <w14:ligatures w14:val="standardContextual"/>
    </w:rPr>
  </w:style>
  <w:style w:type="character" w:styleId="UnresolvedMention">
    <w:name w:val="Unresolved Mention"/>
    <w:basedOn w:val="DefaultParagraphFont"/>
    <w:uiPriority w:val="99"/>
    <w:semiHidden/>
    <w:unhideWhenUsed/>
    <w:rsid w:val="00F31CF4"/>
    <w:rPr>
      <w:color w:val="605E5C"/>
      <w:shd w:val="clear" w:color="auto" w:fill="E1DFDD"/>
    </w:rPr>
  </w:style>
  <w:style w:type="paragraph" w:customStyle="1" w:styleId="pf0">
    <w:name w:val="pf0"/>
    <w:basedOn w:val="Normal"/>
    <w:rsid w:val="00F31C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11">
    <w:name w:val="cf11"/>
    <w:basedOn w:val="DefaultParagraphFont"/>
    <w:rsid w:val="00F31CF4"/>
    <w:rPr>
      <w:rFonts w:ascii="Segoe UI" w:hAnsi="Segoe UI" w:cs="Segoe UI" w:hint="default"/>
      <w:color w:val="0000FF"/>
      <w:sz w:val="18"/>
      <w:szCs w:val="18"/>
    </w:rPr>
  </w:style>
  <w:style w:type="table" w:customStyle="1" w:styleId="TableGrid10">
    <w:name w:val="TableGrid1"/>
    <w:rsid w:val="00F31CF4"/>
    <w:rPr>
      <w:rFonts w:eastAsiaTheme="minorEastAsia"/>
      <w:sz w:val="22"/>
      <w:szCs w:val="22"/>
      <w:lang w:val="en-GB" w:eastAsia="en-GB"/>
    </w:rPr>
    <w:tblPr>
      <w:tblCellMar>
        <w:top w:w="0" w:type="dxa"/>
        <w:left w:w="0" w:type="dxa"/>
        <w:bottom w:w="0" w:type="dxa"/>
        <w:right w:w="0" w:type="dxa"/>
      </w:tblCellMar>
    </w:tblPr>
  </w:style>
  <w:style w:type="paragraph" w:styleId="TOC2">
    <w:name w:val="toc 2"/>
    <w:aliases w:val="CEC-TOC 2"/>
    <w:basedOn w:val="Normal"/>
    <w:next w:val="Normal"/>
    <w:autoRedefine/>
    <w:uiPriority w:val="39"/>
    <w:unhideWhenUsed/>
    <w:rsid w:val="00F31CF4"/>
    <w:pPr>
      <w:spacing w:after="100"/>
      <w:ind w:left="220"/>
    </w:pPr>
  </w:style>
  <w:style w:type="paragraph" w:styleId="TOCHeading">
    <w:name w:val="TOC Heading"/>
    <w:basedOn w:val="Heading1"/>
    <w:next w:val="Normal"/>
    <w:uiPriority w:val="39"/>
    <w:unhideWhenUsed/>
    <w:qFormat/>
    <w:rsid w:val="00F31CF4"/>
    <w:pPr>
      <w:outlineLvl w:val="9"/>
    </w:pPr>
  </w:style>
  <w:style w:type="paragraph" w:styleId="TOC3">
    <w:name w:val="toc 3"/>
    <w:aliases w:val="CEC-TOC 3"/>
    <w:basedOn w:val="Normal"/>
    <w:next w:val="Normal"/>
    <w:autoRedefine/>
    <w:uiPriority w:val="39"/>
    <w:unhideWhenUsed/>
    <w:rsid w:val="00F31CF4"/>
    <w:pPr>
      <w:spacing w:after="100"/>
      <w:ind w:left="440"/>
    </w:pPr>
  </w:style>
  <w:style w:type="paragraph" w:customStyle="1" w:styleId="xmsonormal">
    <w:name w:val="x_msonormal"/>
    <w:basedOn w:val="Normal"/>
    <w:rsid w:val="00F31C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F31CF4"/>
    <w:rPr>
      <w:color w:val="954F72" w:themeColor="followedHyperlink"/>
      <w:u w:val="single"/>
    </w:rPr>
  </w:style>
  <w:style w:type="character" w:customStyle="1" w:styleId="cf21">
    <w:name w:val="cf21"/>
    <w:basedOn w:val="DefaultParagraphFont"/>
    <w:rsid w:val="00F31CF4"/>
    <w:rPr>
      <w:rFonts w:ascii="Segoe UI" w:hAnsi="Segoe UI" w:cs="Segoe UI" w:hint="default"/>
      <w:color w:val="0000FF"/>
      <w:sz w:val="18"/>
      <w:szCs w:val="18"/>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F31CF4"/>
    <w:rPr>
      <w:kern w:val="2"/>
      <w:sz w:val="22"/>
      <w:szCs w:val="22"/>
      <w:lang w:val="en-GB"/>
      <w14:ligatures w14:val="standardContextual"/>
    </w:rPr>
  </w:style>
  <w:style w:type="paragraph" w:customStyle="1" w:styleId="Default">
    <w:name w:val="Default"/>
    <w:rsid w:val="00F31CF4"/>
    <w:pPr>
      <w:autoSpaceDE w:val="0"/>
      <w:autoSpaceDN w:val="0"/>
      <w:adjustRightInd w:val="0"/>
    </w:pPr>
    <w:rPr>
      <w:rFonts w:ascii="Calibri" w:hAnsi="Calibri" w:cs="Calibri"/>
      <w:color w:val="000000"/>
      <w:lang w:val="en-GB"/>
      <w14:ligatures w14:val="standardContextual"/>
    </w:rPr>
  </w:style>
  <w:style w:type="paragraph" w:styleId="NoSpacing">
    <w:name w:val="No Spacing"/>
    <w:uiPriority w:val="1"/>
    <w:qFormat/>
    <w:rsid w:val="00F31CF4"/>
    <w:rPr>
      <w:sz w:val="22"/>
      <w:szCs w:val="22"/>
      <w:lang w:val="en-GB"/>
    </w:rPr>
  </w:style>
  <w:style w:type="character" w:styleId="Strong">
    <w:name w:val="Strong"/>
    <w:basedOn w:val="DefaultParagraphFont"/>
    <w:uiPriority w:val="22"/>
    <w:qFormat/>
    <w:rsid w:val="00F31CF4"/>
    <w:rPr>
      <w:b/>
      <w:bCs/>
    </w:rPr>
  </w:style>
  <w:style w:type="paragraph" w:styleId="EndnoteText">
    <w:name w:val="endnote text"/>
    <w:basedOn w:val="Normal"/>
    <w:link w:val="EndnoteTextChar"/>
    <w:uiPriority w:val="99"/>
    <w:semiHidden/>
    <w:unhideWhenUsed/>
    <w:rsid w:val="00F31C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1CF4"/>
    <w:rPr>
      <w:kern w:val="2"/>
      <w:sz w:val="20"/>
      <w:szCs w:val="20"/>
      <w:lang w:val="en-GB"/>
      <w14:ligatures w14:val="standardContextual"/>
    </w:rPr>
  </w:style>
  <w:style w:type="character" w:styleId="EndnoteReference">
    <w:name w:val="endnote reference"/>
    <w:basedOn w:val="DefaultParagraphFont"/>
    <w:uiPriority w:val="99"/>
    <w:semiHidden/>
    <w:unhideWhenUsed/>
    <w:rsid w:val="00F31CF4"/>
    <w:rPr>
      <w:vertAlign w:val="superscript"/>
    </w:rPr>
  </w:style>
  <w:style w:type="paragraph" w:styleId="Title">
    <w:name w:val="Title"/>
    <w:basedOn w:val="Normal"/>
    <w:next w:val="Normal"/>
    <w:link w:val="TitleChar"/>
    <w:uiPriority w:val="10"/>
    <w:qFormat/>
    <w:rsid w:val="00F31C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CF4"/>
    <w:rPr>
      <w:rFonts w:asciiTheme="majorHAnsi" w:eastAsiaTheme="majorEastAsia" w:hAnsiTheme="majorHAnsi" w:cstheme="majorBidi"/>
      <w:spacing w:val="-10"/>
      <w:kern w:val="28"/>
      <w:sz w:val="56"/>
      <w:szCs w:val="56"/>
      <w:lang w:val="en-GB"/>
      <w14:ligatures w14:val="standardContextual"/>
    </w:rPr>
  </w:style>
  <w:style w:type="character" w:customStyle="1" w:styleId="anchor-text">
    <w:name w:val="anchor-text"/>
    <w:basedOn w:val="DefaultParagraphFont"/>
    <w:rsid w:val="00F31CF4"/>
  </w:style>
  <w:style w:type="character" w:customStyle="1" w:styleId="mw-headline">
    <w:name w:val="mw-headline"/>
    <w:basedOn w:val="DefaultParagraphFont"/>
    <w:rsid w:val="00F31CF4"/>
  </w:style>
  <w:style w:type="character" w:customStyle="1" w:styleId="mw-editsection">
    <w:name w:val="mw-editsection"/>
    <w:basedOn w:val="DefaultParagraphFont"/>
    <w:rsid w:val="00F31CF4"/>
  </w:style>
  <w:style w:type="character" w:customStyle="1" w:styleId="mw-editsection-bracket">
    <w:name w:val="mw-editsection-bracket"/>
    <w:basedOn w:val="DefaultParagraphFont"/>
    <w:rsid w:val="00F31CF4"/>
  </w:style>
  <w:style w:type="paragraph" w:customStyle="1" w:styleId="yiv4493203722xmsonormal">
    <w:name w:val="yiv4493203722x_msonormal"/>
    <w:basedOn w:val="Normal"/>
    <w:rsid w:val="00F31CF4"/>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character" w:customStyle="1" w:styleId="yiv3564278194xcontentpasted1">
    <w:name w:val="yiv3564278194x_contentpasted1"/>
    <w:basedOn w:val="DefaultParagraphFont"/>
    <w:rsid w:val="00F31CF4"/>
  </w:style>
  <w:style w:type="character" w:customStyle="1" w:styleId="yiv3564278194xcontentpasted0">
    <w:name w:val="yiv3564278194x_contentpasted0"/>
    <w:basedOn w:val="DefaultParagraphFont"/>
    <w:rsid w:val="00F31CF4"/>
  </w:style>
  <w:style w:type="character" w:customStyle="1" w:styleId="yiv3564278194xcontentpasted2">
    <w:name w:val="yiv3564278194x_contentpasted2"/>
    <w:basedOn w:val="DefaultParagraphFont"/>
    <w:rsid w:val="00F31CF4"/>
  </w:style>
  <w:style w:type="character" w:customStyle="1" w:styleId="yiv3564278194xcontentpasted6">
    <w:name w:val="yiv3564278194x_contentpasted6"/>
    <w:basedOn w:val="DefaultParagraphFont"/>
    <w:rsid w:val="00F31CF4"/>
  </w:style>
  <w:style w:type="character" w:customStyle="1" w:styleId="yiv3564278194xcontentpasted3">
    <w:name w:val="yiv3564278194x_contentpasted3"/>
    <w:basedOn w:val="DefaultParagraphFont"/>
    <w:rsid w:val="00F31CF4"/>
  </w:style>
  <w:style w:type="character" w:customStyle="1" w:styleId="yiv3564278194contentpasted0">
    <w:name w:val="yiv3564278194contentpasted0"/>
    <w:basedOn w:val="DefaultParagraphFont"/>
    <w:rsid w:val="00F31CF4"/>
  </w:style>
  <w:style w:type="paragraph" w:styleId="Caption">
    <w:name w:val="caption"/>
    <w:aliases w:val="ECEC-Table Caption"/>
    <w:basedOn w:val="Normal"/>
    <w:next w:val="Normal"/>
    <w:link w:val="CaptionChar"/>
    <w:uiPriority w:val="35"/>
    <w:unhideWhenUsed/>
    <w:qFormat/>
    <w:rsid w:val="00F31CF4"/>
    <w:pPr>
      <w:spacing w:after="200" w:line="240" w:lineRule="auto"/>
    </w:pPr>
    <w:rPr>
      <w:i/>
      <w:iCs/>
      <w:color w:val="44546A" w:themeColor="text2"/>
      <w:kern w:val="0"/>
      <w:sz w:val="18"/>
      <w:szCs w:val="18"/>
      <w14:ligatures w14:val="none"/>
    </w:rPr>
  </w:style>
  <w:style w:type="character" w:customStyle="1" w:styleId="markedcontent">
    <w:name w:val="markedcontent"/>
    <w:basedOn w:val="DefaultParagraphFont"/>
    <w:rsid w:val="00F31CF4"/>
  </w:style>
  <w:style w:type="paragraph" w:customStyle="1" w:styleId="pf1">
    <w:name w:val="pf1"/>
    <w:basedOn w:val="Normal"/>
    <w:rsid w:val="00F31C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6">
    <w:name w:val="Pa6"/>
    <w:basedOn w:val="Default"/>
    <w:next w:val="Default"/>
    <w:uiPriority w:val="99"/>
    <w:rsid w:val="00F31CF4"/>
  </w:style>
  <w:style w:type="table" w:styleId="GridTable4-Accent5">
    <w:name w:val="Grid Table 4 Accent 5"/>
    <w:basedOn w:val="TableNormal"/>
    <w:uiPriority w:val="49"/>
    <w:rsid w:val="00F31CF4"/>
    <w:rPr>
      <w:sz w:val="22"/>
      <w:szCs w:val="22"/>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ighlight">
    <w:name w:val="highlight"/>
    <w:basedOn w:val="DefaultParagraphFont"/>
    <w:rsid w:val="00F31CF4"/>
  </w:style>
  <w:style w:type="character" w:customStyle="1" w:styleId="apple-converted-space">
    <w:name w:val="apple-converted-space"/>
    <w:basedOn w:val="DefaultParagraphFont"/>
    <w:rsid w:val="00F31CF4"/>
  </w:style>
  <w:style w:type="paragraph" w:styleId="Subtitle">
    <w:name w:val="Subtitle"/>
    <w:basedOn w:val="Normal"/>
    <w:next w:val="Normal"/>
    <w:link w:val="SubtitleChar"/>
    <w:uiPriority w:val="11"/>
    <w:qFormat/>
    <w:rsid w:val="00F31CF4"/>
    <w:pPr>
      <w:keepNext/>
      <w:keepLines/>
      <w:spacing w:before="360" w:after="80"/>
    </w:pPr>
    <w:rPr>
      <w:rFonts w:ascii="Georgia" w:eastAsia="Georgia" w:hAnsi="Georgia" w:cs="Georgia"/>
      <w:i/>
      <w:color w:val="666666"/>
      <w:kern w:val="0"/>
      <w:sz w:val="48"/>
      <w:szCs w:val="48"/>
      <w:lang w:eastAsia="en-GB"/>
      <w14:ligatures w14:val="none"/>
    </w:rPr>
  </w:style>
  <w:style w:type="character" w:customStyle="1" w:styleId="SubtitleChar">
    <w:name w:val="Subtitle Char"/>
    <w:basedOn w:val="DefaultParagraphFont"/>
    <w:link w:val="Subtitle"/>
    <w:uiPriority w:val="11"/>
    <w:rsid w:val="00F31CF4"/>
    <w:rPr>
      <w:rFonts w:ascii="Georgia" w:eastAsia="Georgia" w:hAnsi="Georgia" w:cs="Georgia"/>
      <w:i/>
      <w:color w:val="666666"/>
      <w:sz w:val="48"/>
      <w:szCs w:val="48"/>
      <w:lang w:val="en-GB" w:eastAsia="en-GB"/>
    </w:rPr>
  </w:style>
  <w:style w:type="paragraph" w:customStyle="1" w:styleId="TableParagraph">
    <w:name w:val="Table Paragraph"/>
    <w:basedOn w:val="Normal"/>
    <w:uiPriority w:val="1"/>
    <w:rsid w:val="00F31CF4"/>
    <w:pPr>
      <w:autoSpaceDE w:val="0"/>
      <w:autoSpaceDN w:val="0"/>
      <w:spacing w:after="0" w:line="240" w:lineRule="auto"/>
      <w:ind w:left="117"/>
    </w:pPr>
    <w:rPr>
      <w:rFonts w:ascii="Calibri" w:hAnsi="Calibri" w:cs="Calibri"/>
      <w:kern w:val="0"/>
      <w14:ligatures w14:val="none"/>
    </w:rPr>
  </w:style>
  <w:style w:type="paragraph" w:customStyle="1" w:styleId="ECECParagraph">
    <w:name w:val="ECEC Paragraph"/>
    <w:link w:val="ECECParagraphChar"/>
    <w:qFormat/>
    <w:rsid w:val="00F31CF4"/>
    <w:pPr>
      <w:suppressAutoHyphens/>
      <w:autoSpaceDE w:val="0"/>
      <w:autoSpaceDN w:val="0"/>
      <w:adjustRightInd w:val="0"/>
      <w:spacing w:after="120"/>
    </w:pPr>
    <w:rPr>
      <w:rFonts w:ascii="Times New Roman" w:eastAsia="Times New Roman" w:hAnsi="Times New Roman" w:cs="Times New Roman"/>
      <w:sz w:val="22"/>
      <w:szCs w:val="22"/>
      <w:lang w:val="en-US"/>
    </w:rPr>
  </w:style>
  <w:style w:type="paragraph" w:customStyle="1" w:styleId="ECECSource">
    <w:name w:val="ECEC Source"/>
    <w:basedOn w:val="ECECParagraph"/>
    <w:next w:val="ECECParagraph"/>
    <w:qFormat/>
    <w:rsid w:val="00F31CF4"/>
    <w:pPr>
      <w:spacing w:before="120" w:after="360"/>
    </w:pPr>
    <w:rPr>
      <w:noProof/>
      <w:sz w:val="20"/>
    </w:rPr>
  </w:style>
  <w:style w:type="character" w:styleId="PageNumber">
    <w:name w:val="page number"/>
    <w:aliases w:val="CEC Footer-Page Number"/>
    <w:basedOn w:val="HeaderChar"/>
    <w:uiPriority w:val="99"/>
    <w:semiHidden/>
    <w:qFormat/>
    <w:rsid w:val="00F31CF4"/>
    <w:rPr>
      <w:i w:val="0"/>
      <w:kern w:val="2"/>
      <w:sz w:val="20"/>
      <w:szCs w:val="22"/>
      <w:lang w:val="en-GB"/>
      <w14:ligatures w14:val="standardContextual"/>
    </w:rPr>
  </w:style>
  <w:style w:type="paragraph" w:customStyle="1" w:styleId="ECECBulletedList">
    <w:name w:val="ECEC Bulleted List"/>
    <w:basedOn w:val="ECECParagraph"/>
    <w:qFormat/>
    <w:rsid w:val="00F31CF4"/>
    <w:pPr>
      <w:numPr>
        <w:numId w:val="1"/>
      </w:numPr>
      <w:tabs>
        <w:tab w:val="clear" w:pos="928"/>
        <w:tab w:val="num" w:pos="360"/>
      </w:tabs>
      <w:spacing w:after="0"/>
      <w:ind w:left="720" w:firstLine="0"/>
    </w:pPr>
  </w:style>
  <w:style w:type="paragraph" w:customStyle="1" w:styleId="ECECBullet-Last">
    <w:name w:val="ECEC Bullet-Last"/>
    <w:basedOn w:val="ECECBulletedList"/>
    <w:next w:val="ECECParagraph"/>
    <w:qFormat/>
    <w:rsid w:val="00F31CF4"/>
    <w:pPr>
      <w:spacing w:after="240"/>
    </w:pPr>
  </w:style>
  <w:style w:type="paragraph" w:customStyle="1" w:styleId="ECECNumberedList">
    <w:name w:val="ECEC Numbered List"/>
    <w:basedOn w:val="ECECBulletedList"/>
    <w:qFormat/>
    <w:rsid w:val="00F31CF4"/>
    <w:pPr>
      <w:numPr>
        <w:numId w:val="2"/>
      </w:numPr>
      <w:tabs>
        <w:tab w:val="clear" w:pos="720"/>
        <w:tab w:val="num" w:pos="360"/>
      </w:tabs>
      <w:ind w:left="928"/>
    </w:pPr>
  </w:style>
  <w:style w:type="paragraph" w:customStyle="1" w:styleId="CECNumber-Last">
    <w:name w:val="CEC Number-Last"/>
    <w:basedOn w:val="ECECNumberedList"/>
    <w:next w:val="ECECParagraph"/>
    <w:rsid w:val="00F31CF4"/>
    <w:pPr>
      <w:spacing w:after="240"/>
    </w:pPr>
  </w:style>
  <w:style w:type="paragraph" w:customStyle="1" w:styleId="ECEC-authordate">
    <w:name w:val="ECEC-author &amp; date"/>
    <w:qFormat/>
    <w:rsid w:val="00F31CF4"/>
    <w:pPr>
      <w:jc w:val="right"/>
    </w:pPr>
    <w:rPr>
      <w:rFonts w:ascii="Arial" w:eastAsia="Times New Roman" w:hAnsi="Arial" w:cs="Times New Roman"/>
      <w:color w:val="7F7F7F"/>
      <w:sz w:val="28"/>
      <w:szCs w:val="22"/>
      <w:lang w:val="en-US"/>
    </w:rPr>
  </w:style>
  <w:style w:type="paragraph" w:customStyle="1" w:styleId="ECEC-Title">
    <w:name w:val="ECEC-Title"/>
    <w:qFormat/>
    <w:rsid w:val="00F31CF4"/>
    <w:pPr>
      <w:spacing w:before="3000" w:after="480"/>
    </w:pPr>
    <w:rPr>
      <w:rFonts w:ascii="Arial" w:eastAsia="Times New Roman" w:hAnsi="Arial" w:cs="Times New Roman"/>
      <w:b/>
      <w:sz w:val="48"/>
      <w:szCs w:val="48"/>
      <w:lang w:val="en-CA"/>
    </w:rPr>
  </w:style>
  <w:style w:type="paragraph" w:customStyle="1" w:styleId="ECEC-Subtitle">
    <w:name w:val="ECEC-Subtitle"/>
    <w:basedOn w:val="ECEC-Title"/>
    <w:qFormat/>
    <w:rsid w:val="00F31CF4"/>
    <w:pPr>
      <w:spacing w:before="480" w:after="1800"/>
    </w:pPr>
    <w:rPr>
      <w:sz w:val="44"/>
      <w:szCs w:val="44"/>
    </w:rPr>
  </w:style>
  <w:style w:type="paragraph" w:customStyle="1" w:styleId="ECECReference">
    <w:name w:val="ECEC Reference"/>
    <w:basedOn w:val="ECECParagraph"/>
    <w:qFormat/>
    <w:rsid w:val="00F31CF4"/>
    <w:pPr>
      <w:ind w:left="360" w:hanging="360"/>
    </w:pPr>
  </w:style>
  <w:style w:type="paragraph" w:customStyle="1" w:styleId="ECECTable">
    <w:name w:val="ECEC Table"/>
    <w:basedOn w:val="ECECParagraph"/>
    <w:qFormat/>
    <w:rsid w:val="00F31CF4"/>
    <w:pPr>
      <w:spacing w:before="60" w:after="60"/>
      <w:ind w:left="113"/>
    </w:pPr>
    <w:rPr>
      <w:sz w:val="20"/>
      <w:szCs w:val="20"/>
    </w:rPr>
  </w:style>
  <w:style w:type="paragraph" w:customStyle="1" w:styleId="ECECNote">
    <w:name w:val="ECEC Note"/>
    <w:basedOn w:val="ECECSource"/>
    <w:next w:val="ECECParagraph"/>
    <w:qFormat/>
    <w:rsid w:val="00F31CF4"/>
    <w:pPr>
      <w:spacing w:before="0"/>
    </w:pPr>
  </w:style>
  <w:style w:type="paragraph" w:customStyle="1" w:styleId="ECEC-disclaimer">
    <w:name w:val="ECEC-disclaimer"/>
    <w:qFormat/>
    <w:rsid w:val="00F31CF4"/>
    <w:pPr>
      <w:spacing w:after="120"/>
      <w:ind w:right="2738"/>
    </w:pPr>
    <w:rPr>
      <w:rFonts w:ascii="Arial" w:eastAsia="Cambria" w:hAnsi="Arial" w:cs="Times"/>
      <w:color w:val="000000"/>
      <w:sz w:val="18"/>
      <w:szCs w:val="16"/>
      <w:lang w:val="en-US"/>
    </w:rPr>
  </w:style>
  <w:style w:type="paragraph" w:styleId="TableofFigures">
    <w:name w:val="table of figures"/>
    <w:aliases w:val="CEC-table figures"/>
    <w:next w:val="ECECParagraph"/>
    <w:uiPriority w:val="99"/>
    <w:rsid w:val="00F31CF4"/>
    <w:pPr>
      <w:tabs>
        <w:tab w:val="right" w:leader="dot" w:pos="8505"/>
      </w:tabs>
      <w:spacing w:after="60"/>
      <w:ind w:left="1446" w:right="567" w:hanging="879"/>
    </w:pPr>
    <w:rPr>
      <w:rFonts w:ascii="Calibri Light" w:eastAsia="Times New Roman" w:hAnsi="Calibri Light" w:cs="Times New Roman"/>
      <w:b/>
      <w:noProof/>
      <w:sz w:val="22"/>
      <w:lang w:val="en-US"/>
    </w:rPr>
  </w:style>
  <w:style w:type="paragraph" w:customStyle="1" w:styleId="ECECIndexTableHead">
    <w:name w:val="ECEC Index Table Head"/>
    <w:next w:val="ECECParagraph"/>
    <w:qFormat/>
    <w:rsid w:val="00F31CF4"/>
    <w:pPr>
      <w:keepNext/>
      <w:widowControl w:val="0"/>
      <w:pBdr>
        <w:bottom w:val="single" w:sz="4" w:space="1" w:color="auto"/>
      </w:pBdr>
      <w:suppressAutoHyphens/>
      <w:spacing w:before="360" w:after="480"/>
    </w:pPr>
    <w:rPr>
      <w:rFonts w:ascii="Calibri" w:eastAsia="Cambria" w:hAnsi="Calibri" w:cs="Calibri"/>
      <w:b/>
      <w:bCs/>
      <w:color w:val="2E74B5" w:themeColor="accent5" w:themeShade="BF"/>
      <w:sz w:val="32"/>
      <w:szCs w:val="32"/>
      <w:lang w:val="en-CA"/>
    </w:rPr>
  </w:style>
  <w:style w:type="paragraph" w:customStyle="1" w:styleId="ECECquote">
    <w:name w:val="ECEC quote"/>
    <w:basedOn w:val="ECECParagraph"/>
    <w:next w:val="ECECParagraph"/>
    <w:qFormat/>
    <w:rsid w:val="00F31CF4"/>
    <w:pPr>
      <w:ind w:left="567"/>
    </w:pPr>
  </w:style>
  <w:style w:type="paragraph" w:customStyle="1" w:styleId="ECECTablehead">
    <w:name w:val="ECEC Table head"/>
    <w:basedOn w:val="ECECTable"/>
    <w:next w:val="ECECTable"/>
    <w:qFormat/>
    <w:rsid w:val="00F31CF4"/>
    <w:pPr>
      <w:keepNext/>
      <w:spacing w:after="120"/>
      <w:ind w:right="113"/>
      <w:jc w:val="center"/>
    </w:pPr>
    <w:rPr>
      <w:b/>
      <w:bCs/>
    </w:rPr>
  </w:style>
  <w:style w:type="paragraph" w:customStyle="1" w:styleId="ECEClist-level2">
    <w:name w:val="ECEC list-level 2"/>
    <w:basedOn w:val="ECECNumberedList"/>
    <w:qFormat/>
    <w:rsid w:val="00F31CF4"/>
    <w:pPr>
      <w:numPr>
        <w:numId w:val="3"/>
      </w:numPr>
      <w:tabs>
        <w:tab w:val="num" w:pos="360"/>
      </w:tabs>
      <w:ind w:left="720"/>
    </w:pPr>
  </w:style>
  <w:style w:type="character" w:customStyle="1" w:styleId="Mention1">
    <w:name w:val="Mention1"/>
    <w:basedOn w:val="DefaultParagraphFont"/>
    <w:uiPriority w:val="99"/>
    <w:semiHidden/>
    <w:unhideWhenUsed/>
    <w:rsid w:val="00F31CF4"/>
    <w:rPr>
      <w:color w:val="2B579A"/>
      <w:shd w:val="clear" w:color="auto" w:fill="E6E6E6"/>
    </w:rPr>
  </w:style>
  <w:style w:type="paragraph" w:customStyle="1" w:styleId="EndNoteBibliographyTitle">
    <w:name w:val="EndNote Bibliography Title"/>
    <w:basedOn w:val="Normal"/>
    <w:link w:val="EndNoteBibliographyTitleChar"/>
    <w:rsid w:val="00F31CF4"/>
    <w:pPr>
      <w:spacing w:after="0" w:line="240" w:lineRule="auto"/>
      <w:jc w:val="center"/>
    </w:pPr>
    <w:rPr>
      <w:rFonts w:ascii="Times New Roman" w:eastAsia="Times New Roman" w:hAnsi="Times New Roman" w:cs="Times New Roman"/>
      <w:noProof/>
      <w:kern w:val="0"/>
      <w:lang w:val="en-CA" w:eastAsia="en-CA"/>
      <w14:ligatures w14:val="none"/>
    </w:rPr>
  </w:style>
  <w:style w:type="character" w:customStyle="1" w:styleId="ECECParagraphChar">
    <w:name w:val="ECEC Paragraph Char"/>
    <w:basedOn w:val="DefaultParagraphFont"/>
    <w:link w:val="ECECParagraph"/>
    <w:rsid w:val="00F31CF4"/>
    <w:rPr>
      <w:rFonts w:ascii="Times New Roman" w:eastAsia="Times New Roman" w:hAnsi="Times New Roman" w:cs="Times New Roman"/>
      <w:sz w:val="22"/>
      <w:szCs w:val="22"/>
      <w:lang w:val="en-US"/>
    </w:rPr>
  </w:style>
  <w:style w:type="character" w:customStyle="1" w:styleId="EndNoteBibliographyTitleChar">
    <w:name w:val="EndNote Bibliography Title Char"/>
    <w:basedOn w:val="ECECParagraphChar"/>
    <w:link w:val="EndNoteBibliographyTitle"/>
    <w:rsid w:val="00F31CF4"/>
    <w:rPr>
      <w:rFonts w:ascii="Times New Roman" w:eastAsia="Times New Roman" w:hAnsi="Times New Roman" w:cs="Times New Roman"/>
      <w:noProof/>
      <w:sz w:val="22"/>
      <w:szCs w:val="22"/>
      <w:lang w:val="en-CA" w:eastAsia="en-CA"/>
    </w:rPr>
  </w:style>
  <w:style w:type="paragraph" w:customStyle="1" w:styleId="EndNoteBibliography">
    <w:name w:val="EndNote Bibliography"/>
    <w:basedOn w:val="Normal"/>
    <w:link w:val="EndNoteBibliographyChar"/>
    <w:rsid w:val="00F31CF4"/>
    <w:pPr>
      <w:spacing w:after="0" w:line="240" w:lineRule="auto"/>
    </w:pPr>
    <w:rPr>
      <w:rFonts w:ascii="Times New Roman" w:eastAsia="Times New Roman" w:hAnsi="Times New Roman" w:cs="Times New Roman"/>
      <w:noProof/>
      <w:kern w:val="0"/>
      <w:lang w:val="en-CA" w:eastAsia="en-CA"/>
      <w14:ligatures w14:val="none"/>
    </w:rPr>
  </w:style>
  <w:style w:type="character" w:customStyle="1" w:styleId="EndNoteBibliographyChar">
    <w:name w:val="EndNote Bibliography Char"/>
    <w:basedOn w:val="ECECParagraphChar"/>
    <w:link w:val="EndNoteBibliography"/>
    <w:rsid w:val="00F31CF4"/>
    <w:rPr>
      <w:rFonts w:ascii="Times New Roman" w:eastAsia="Times New Roman" w:hAnsi="Times New Roman" w:cs="Times New Roman"/>
      <w:noProof/>
      <w:sz w:val="22"/>
      <w:szCs w:val="22"/>
      <w:lang w:val="en-CA" w:eastAsia="en-CA"/>
    </w:rPr>
  </w:style>
  <w:style w:type="table" w:styleId="GridTable6Colorful-Accent5">
    <w:name w:val="Grid Table 6 Colorful Accent 5"/>
    <w:basedOn w:val="TableNormal"/>
    <w:uiPriority w:val="51"/>
    <w:rsid w:val="00F31CF4"/>
    <w:rPr>
      <w:rFonts w:ascii="Times New Roman" w:eastAsia="Times New Roman" w:hAnsi="Times New Roman" w:cs="Times New Roman"/>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lainText">
    <w:name w:val="Plain Text"/>
    <w:basedOn w:val="Normal"/>
    <w:link w:val="PlainTextChar"/>
    <w:uiPriority w:val="99"/>
    <w:semiHidden/>
    <w:unhideWhenUsed/>
    <w:rsid w:val="00F31CF4"/>
    <w:pPr>
      <w:spacing w:after="0" w:line="240" w:lineRule="auto"/>
    </w:pPr>
    <w:rPr>
      <w:rFonts w:ascii="Calibri" w:hAnsi="Calibri"/>
      <w:kern w:val="0"/>
      <w:szCs w:val="21"/>
      <w:lang w:val="en-US"/>
      <w14:ligatures w14:val="none"/>
    </w:rPr>
  </w:style>
  <w:style w:type="character" w:customStyle="1" w:styleId="PlainTextChar">
    <w:name w:val="Plain Text Char"/>
    <w:basedOn w:val="DefaultParagraphFont"/>
    <w:link w:val="PlainText"/>
    <w:uiPriority w:val="99"/>
    <w:semiHidden/>
    <w:rsid w:val="00F31CF4"/>
    <w:rPr>
      <w:rFonts w:ascii="Calibri" w:hAnsi="Calibri"/>
      <w:sz w:val="22"/>
      <w:szCs w:val="21"/>
      <w:lang w:val="en-US"/>
    </w:rPr>
  </w:style>
  <w:style w:type="character" w:customStyle="1" w:styleId="CaptionChar">
    <w:name w:val="Caption Char"/>
    <w:aliases w:val="ECEC-Table Caption Char"/>
    <w:basedOn w:val="DefaultParagraphFont"/>
    <w:link w:val="Caption"/>
    <w:uiPriority w:val="35"/>
    <w:rsid w:val="00F31CF4"/>
    <w:rPr>
      <w:i/>
      <w:iCs/>
      <w:color w:val="44546A" w:themeColor="text2"/>
      <w:sz w:val="18"/>
      <w:szCs w:val="18"/>
      <w:lang w:val="en-GB"/>
    </w:rPr>
  </w:style>
  <w:style w:type="character" w:customStyle="1" w:styleId="accessibleelem">
    <w:name w:val="accessible_elem"/>
    <w:basedOn w:val="DefaultParagraphFont"/>
    <w:rsid w:val="00F31CF4"/>
  </w:style>
  <w:style w:type="character" w:customStyle="1" w:styleId="50f7">
    <w:name w:val="_50f7"/>
    <w:basedOn w:val="DefaultParagraphFont"/>
    <w:rsid w:val="00F31CF4"/>
  </w:style>
  <w:style w:type="paragraph" w:customStyle="1" w:styleId="Style4">
    <w:name w:val="Style4"/>
    <w:qFormat/>
    <w:rsid w:val="00F31CF4"/>
    <w:rPr>
      <w:rFonts w:ascii="Arial Narrow" w:eastAsia="Calibri" w:hAnsi="Arial Narrow" w:cs="Arial"/>
      <w:color w:val="000000"/>
      <w:kern w:val="3"/>
      <w:sz w:val="16"/>
      <w:szCs w:val="16"/>
      <w:lang w:val="en-CA"/>
    </w:rPr>
  </w:style>
  <w:style w:type="table" w:styleId="ListTable1Light-Accent5">
    <w:name w:val="List Table 1 Light Accent 5"/>
    <w:basedOn w:val="TableNormal"/>
    <w:uiPriority w:val="46"/>
    <w:rsid w:val="00F31CF4"/>
    <w:rPr>
      <w:rFonts w:ascii="Times New Roman" w:eastAsia="Times New Roman" w:hAnsi="Times New Roman" w:cs="Times New Roman"/>
      <w:lang w:val="en-US"/>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ECIndexTableHead">
    <w:name w:val="CEC Index Table Head"/>
    <w:next w:val="Normal"/>
    <w:rsid w:val="00F31CF4"/>
    <w:pPr>
      <w:keepNext/>
      <w:widowControl w:val="0"/>
      <w:suppressAutoHyphens/>
      <w:spacing w:before="360" w:after="480"/>
      <w:jc w:val="center"/>
    </w:pPr>
    <w:rPr>
      <w:rFonts w:ascii="Arial" w:eastAsia="Cambria" w:hAnsi="Arial" w:cs="Times"/>
      <w:b/>
      <w:bCs/>
      <w:color w:val="365F91"/>
      <w:sz w:val="28"/>
      <w:szCs w:val="16"/>
      <w:lang w:val="en-US"/>
    </w:rPr>
  </w:style>
  <w:style w:type="table" w:styleId="GridTable2-Accent5">
    <w:name w:val="Grid Table 2 Accent 5"/>
    <w:basedOn w:val="TableNormal"/>
    <w:uiPriority w:val="47"/>
    <w:rsid w:val="00F31CF4"/>
    <w:rPr>
      <w:rFonts w:ascii="Times New Roman" w:eastAsia="Times New Roman" w:hAnsi="Times New Roman" w:cs="Times New Roman"/>
      <w:lang w:val="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cxmsonormal">
    <w:name w:val="ecxmsonormal"/>
    <w:basedOn w:val="Normal"/>
    <w:rsid w:val="00F31CF4"/>
    <w:pPr>
      <w:spacing w:after="324" w:line="240" w:lineRule="auto"/>
    </w:pPr>
    <w:rPr>
      <w:rFonts w:ascii="Times New Roman" w:eastAsia="Times New Roman" w:hAnsi="Times New Roman" w:cs="Times New Roman"/>
      <w:kern w:val="0"/>
      <w:sz w:val="24"/>
      <w:szCs w:val="24"/>
      <w:lang w:val="en-CA" w:eastAsia="en-CA"/>
      <w14:ligatures w14:val="none"/>
    </w:rPr>
  </w:style>
  <w:style w:type="paragraph" w:customStyle="1" w:styleId="ECECtextinfootnote">
    <w:name w:val="ECEC text in footnote"/>
    <w:basedOn w:val="FootnoteText"/>
    <w:link w:val="ECECtextinfootnoteChar"/>
    <w:qFormat/>
    <w:rsid w:val="00F31CF4"/>
    <w:pPr>
      <w:suppressAutoHyphens/>
      <w:spacing w:after="60"/>
      <w:ind w:left="142" w:hanging="142"/>
    </w:pPr>
    <w:rPr>
      <w:rFonts w:ascii="Times New Roman" w:eastAsia="Times New Roman" w:hAnsi="Times New Roman" w:cs="Times New Roman"/>
      <w:kern w:val="0"/>
      <w:lang w:val="en-US"/>
      <w14:ligatures w14:val="none"/>
    </w:rPr>
  </w:style>
  <w:style w:type="character" w:customStyle="1" w:styleId="ECECtextinfootnoteChar">
    <w:name w:val="ECEC text in footnote Char"/>
    <w:basedOn w:val="ECECParagraphChar"/>
    <w:link w:val="ECECtextinfootnote"/>
    <w:rsid w:val="00F31CF4"/>
    <w:rPr>
      <w:rFonts w:ascii="Times New Roman" w:eastAsia="Times New Roman" w:hAnsi="Times New Roman" w:cs="Times New Roman"/>
      <w:sz w:val="20"/>
      <w:szCs w:val="20"/>
      <w:lang w:val="en-US"/>
    </w:rPr>
  </w:style>
  <w:style w:type="table" w:styleId="GridTable6Colorful-Accent1">
    <w:name w:val="Grid Table 6 Colorful Accent 1"/>
    <w:basedOn w:val="TableNormal"/>
    <w:uiPriority w:val="51"/>
    <w:rsid w:val="00F31CF4"/>
    <w:rPr>
      <w:rFonts w:ascii="Times New Roman" w:eastAsia="Times New Roman" w:hAnsi="Times New Roman" w:cs="Times New Roman"/>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CECFigurecaption">
    <w:name w:val="ECEC Figure caption"/>
    <w:basedOn w:val="Caption"/>
    <w:link w:val="ECECFigurecaptionChar"/>
    <w:qFormat/>
    <w:rsid w:val="00F31CF4"/>
    <w:pPr>
      <w:keepNext/>
      <w:suppressAutoHyphens/>
      <w:spacing w:before="120" w:after="0"/>
      <w:ind w:right="-357"/>
    </w:pPr>
    <w:rPr>
      <w:rFonts w:ascii="Arial" w:eastAsia="Cambria" w:hAnsi="Arial" w:cs="Arial"/>
      <w:b/>
      <w:bCs/>
      <w:i w:val="0"/>
      <w:iCs w:val="0"/>
      <w:color w:val="000000"/>
      <w:sz w:val="20"/>
      <w:szCs w:val="20"/>
      <w:lang w:val="en-CA"/>
    </w:rPr>
  </w:style>
  <w:style w:type="character" w:customStyle="1" w:styleId="ECECFigurecaptionChar">
    <w:name w:val="ECEC Figure caption Char"/>
    <w:basedOn w:val="CaptionChar"/>
    <w:link w:val="ECECFigurecaption"/>
    <w:rsid w:val="00F31CF4"/>
    <w:rPr>
      <w:rFonts w:ascii="Arial" w:eastAsia="Cambria" w:hAnsi="Arial" w:cs="Arial"/>
      <w:b/>
      <w:bCs/>
      <w:i w:val="0"/>
      <w:iCs w:val="0"/>
      <w:color w:val="000000"/>
      <w:sz w:val="20"/>
      <w:szCs w:val="20"/>
      <w:lang w:val="en-CA"/>
    </w:rPr>
  </w:style>
  <w:style w:type="table" w:styleId="GridTable2-Accent1">
    <w:name w:val="Grid Table 2 Accent 1"/>
    <w:basedOn w:val="TableNormal"/>
    <w:uiPriority w:val="47"/>
    <w:rsid w:val="00F31CF4"/>
    <w:rPr>
      <w:rFonts w:ascii="Times New Roman" w:eastAsia="Times New Roman" w:hAnsi="Times New Roman" w:cs="Times New Roman"/>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istoftablesheading">
    <w:name w:val="list of tables heading"/>
    <w:basedOn w:val="Normal"/>
    <w:link w:val="listoftablesheadingChar"/>
    <w:qFormat/>
    <w:rsid w:val="00F31CF4"/>
    <w:pPr>
      <w:spacing w:before="360" w:after="120" w:line="240" w:lineRule="auto"/>
      <w:jc w:val="center"/>
    </w:pPr>
    <w:rPr>
      <w:rFonts w:ascii="Calibri" w:eastAsia="Times New Roman" w:hAnsi="Calibri" w:cs="Calibri"/>
      <w:b/>
      <w:bCs/>
      <w:color w:val="2E74B5" w:themeColor="accent5" w:themeShade="BF"/>
      <w:sz w:val="26"/>
      <w:szCs w:val="26"/>
      <w:lang w:val="en-CA" w:eastAsia="en-CA"/>
    </w:rPr>
  </w:style>
  <w:style w:type="character" w:customStyle="1" w:styleId="listoftablesheadingChar">
    <w:name w:val="list of tables heading Char"/>
    <w:basedOn w:val="Heading2Char"/>
    <w:link w:val="listoftablesheading"/>
    <w:rsid w:val="00F31CF4"/>
    <w:rPr>
      <w:rFonts w:ascii="Calibri" w:eastAsia="Times New Roman" w:hAnsi="Calibri" w:cs="Calibri"/>
      <w:b/>
      <w:bCs/>
      <w:color w:val="2E74B5" w:themeColor="accent5" w:themeShade="BF"/>
      <w:kern w:val="2"/>
      <w:sz w:val="26"/>
      <w:szCs w:val="26"/>
      <w:lang w:val="en-CA" w:eastAsia="en-CA"/>
      <w14:ligatures w14:val="standardContextual"/>
    </w:rPr>
  </w:style>
  <w:style w:type="paragraph" w:styleId="TOC4">
    <w:name w:val="toc 4"/>
    <w:basedOn w:val="Normal"/>
    <w:next w:val="Normal"/>
    <w:autoRedefine/>
    <w:uiPriority w:val="39"/>
    <w:unhideWhenUsed/>
    <w:rsid w:val="00F31CF4"/>
    <w:pPr>
      <w:spacing w:after="100"/>
      <w:ind w:left="660"/>
    </w:pPr>
    <w:rPr>
      <w:rFonts w:eastAsiaTheme="minorEastAsia"/>
      <w:kern w:val="0"/>
      <w:lang w:val="en-CA" w:eastAsia="en-CA"/>
      <w14:ligatures w14:val="none"/>
    </w:rPr>
  </w:style>
  <w:style w:type="paragraph" w:styleId="TOC5">
    <w:name w:val="toc 5"/>
    <w:basedOn w:val="Normal"/>
    <w:next w:val="Normal"/>
    <w:autoRedefine/>
    <w:uiPriority w:val="39"/>
    <w:unhideWhenUsed/>
    <w:rsid w:val="00F31CF4"/>
    <w:pPr>
      <w:spacing w:after="100"/>
      <w:ind w:left="880"/>
    </w:pPr>
    <w:rPr>
      <w:rFonts w:eastAsiaTheme="minorEastAsia"/>
      <w:kern w:val="0"/>
      <w:lang w:val="en-CA" w:eastAsia="en-CA"/>
      <w14:ligatures w14:val="none"/>
    </w:rPr>
  </w:style>
  <w:style w:type="paragraph" w:styleId="TOC6">
    <w:name w:val="toc 6"/>
    <w:basedOn w:val="Normal"/>
    <w:next w:val="Normal"/>
    <w:autoRedefine/>
    <w:uiPriority w:val="39"/>
    <w:unhideWhenUsed/>
    <w:rsid w:val="00F31CF4"/>
    <w:pPr>
      <w:spacing w:after="100"/>
      <w:ind w:left="1100"/>
    </w:pPr>
    <w:rPr>
      <w:rFonts w:eastAsiaTheme="minorEastAsia"/>
      <w:kern w:val="0"/>
      <w:lang w:val="en-CA" w:eastAsia="en-CA"/>
      <w14:ligatures w14:val="none"/>
    </w:rPr>
  </w:style>
  <w:style w:type="paragraph" w:styleId="TOC7">
    <w:name w:val="toc 7"/>
    <w:basedOn w:val="Normal"/>
    <w:next w:val="Normal"/>
    <w:autoRedefine/>
    <w:uiPriority w:val="39"/>
    <w:unhideWhenUsed/>
    <w:rsid w:val="00F31CF4"/>
    <w:pPr>
      <w:spacing w:after="100"/>
      <w:ind w:left="1320"/>
    </w:pPr>
    <w:rPr>
      <w:rFonts w:eastAsiaTheme="minorEastAsia"/>
      <w:kern w:val="0"/>
      <w:lang w:val="en-CA" w:eastAsia="en-CA"/>
      <w14:ligatures w14:val="none"/>
    </w:rPr>
  </w:style>
  <w:style w:type="paragraph" w:styleId="TOC8">
    <w:name w:val="toc 8"/>
    <w:basedOn w:val="Normal"/>
    <w:next w:val="Normal"/>
    <w:autoRedefine/>
    <w:uiPriority w:val="39"/>
    <w:unhideWhenUsed/>
    <w:rsid w:val="00F31CF4"/>
    <w:pPr>
      <w:spacing w:after="100"/>
      <w:ind w:left="1540"/>
    </w:pPr>
    <w:rPr>
      <w:rFonts w:eastAsiaTheme="minorEastAsia"/>
      <w:kern w:val="0"/>
      <w:lang w:val="en-CA" w:eastAsia="en-CA"/>
      <w14:ligatures w14:val="none"/>
    </w:rPr>
  </w:style>
  <w:style w:type="paragraph" w:styleId="TOC9">
    <w:name w:val="toc 9"/>
    <w:basedOn w:val="Normal"/>
    <w:next w:val="Normal"/>
    <w:autoRedefine/>
    <w:uiPriority w:val="39"/>
    <w:unhideWhenUsed/>
    <w:rsid w:val="00F31CF4"/>
    <w:pPr>
      <w:spacing w:after="100"/>
      <w:ind w:left="1760"/>
    </w:pPr>
    <w:rPr>
      <w:rFonts w:eastAsiaTheme="minorEastAsia"/>
      <w:kern w:val="0"/>
      <w:lang w:val="en-CA" w:eastAsia="en-CA"/>
      <w14:ligatures w14:val="none"/>
    </w:rPr>
  </w:style>
  <w:style w:type="paragraph" w:customStyle="1" w:styleId="CECParagraph">
    <w:name w:val="CEC Paragraph"/>
    <w:link w:val="CECParagraphChar"/>
    <w:qFormat/>
    <w:rsid w:val="00F31CF4"/>
    <w:pPr>
      <w:tabs>
        <w:tab w:val="left" w:pos="1440"/>
      </w:tabs>
      <w:suppressAutoHyphens/>
      <w:autoSpaceDE w:val="0"/>
      <w:autoSpaceDN w:val="0"/>
      <w:adjustRightInd w:val="0"/>
      <w:spacing w:after="300" w:line="300" w:lineRule="exact"/>
    </w:pPr>
    <w:rPr>
      <w:rFonts w:ascii="Calibri" w:eastAsia="Times New Roman" w:hAnsi="Calibri" w:cs="Times New Roman"/>
      <w:sz w:val="22"/>
      <w:szCs w:val="22"/>
      <w:lang w:val="en-US"/>
    </w:rPr>
  </w:style>
  <w:style w:type="character" w:customStyle="1" w:styleId="CECParagraphChar">
    <w:name w:val="CEC Paragraph Char"/>
    <w:basedOn w:val="DefaultParagraphFont"/>
    <w:link w:val="CECParagraph"/>
    <w:rsid w:val="00F31CF4"/>
    <w:rPr>
      <w:rFonts w:ascii="Calibri" w:eastAsia="Times New Roman" w:hAnsi="Calibri" w:cs="Times New Roman"/>
      <w:sz w:val="22"/>
      <w:szCs w:val="22"/>
      <w:lang w:val="en-US"/>
    </w:rPr>
  </w:style>
  <w:style w:type="table" w:styleId="GridTable3-Accent3">
    <w:name w:val="Grid Table 3 Accent 3"/>
    <w:basedOn w:val="TableNormal"/>
    <w:uiPriority w:val="48"/>
    <w:rsid w:val="00F31CF4"/>
    <w:rPr>
      <w:sz w:val="22"/>
      <w:szCs w:val="22"/>
      <w:lang w:val="en-C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title-text">
    <w:name w:val="title-text"/>
    <w:basedOn w:val="DefaultParagraphFont"/>
    <w:rsid w:val="00F31CF4"/>
  </w:style>
  <w:style w:type="character" w:customStyle="1" w:styleId="sr-only">
    <w:name w:val="sr-only"/>
    <w:basedOn w:val="DefaultParagraphFont"/>
    <w:rsid w:val="00F31CF4"/>
  </w:style>
  <w:style w:type="paragraph" w:styleId="BodyText">
    <w:name w:val="Body Text"/>
    <w:basedOn w:val="Normal"/>
    <w:link w:val="BodyTextChar"/>
    <w:rsid w:val="00F31CF4"/>
    <w:pPr>
      <w:spacing w:after="120" w:line="240" w:lineRule="auto"/>
    </w:pPr>
    <w:rPr>
      <w:rFonts w:ascii="Arial" w:eastAsia="Times New Roman" w:hAnsi="Arial" w:cs="Arial"/>
      <w:kern w:val="0"/>
      <w:szCs w:val="24"/>
      <w14:ligatures w14:val="none"/>
    </w:rPr>
  </w:style>
  <w:style w:type="character" w:customStyle="1" w:styleId="BodyTextChar">
    <w:name w:val="Body Text Char"/>
    <w:basedOn w:val="DefaultParagraphFont"/>
    <w:link w:val="BodyText"/>
    <w:rsid w:val="00F31CF4"/>
    <w:rPr>
      <w:rFonts w:ascii="Arial" w:eastAsia="Times New Roman" w:hAnsi="Arial" w:cs="Arial"/>
      <w:sz w:val="22"/>
      <w:lang w:val="en-GB"/>
    </w:rPr>
  </w:style>
  <w:style w:type="character" w:customStyle="1" w:styleId="entry">
    <w:name w:val="entry"/>
    <w:basedOn w:val="DefaultParagraphFont"/>
    <w:rsid w:val="00F31CF4"/>
  </w:style>
  <w:style w:type="character" w:customStyle="1" w:styleId="highlight-moduleako5d">
    <w:name w:val="highlight-module__ako5d"/>
    <w:basedOn w:val="DefaultParagraphFont"/>
    <w:rsid w:val="00F31CF4"/>
  </w:style>
  <w:style w:type="character" w:customStyle="1" w:styleId="toolbar-modulewgso3">
    <w:name w:val="toolbar-module__wgso3"/>
    <w:basedOn w:val="DefaultParagraphFont"/>
    <w:rsid w:val="00F31CF4"/>
  </w:style>
  <w:style w:type="paragraph" w:customStyle="1" w:styleId="AEEndabsatz">
    <w:name w:val="AE_Endabsatz"/>
    <w:basedOn w:val="Normal"/>
    <w:qFormat/>
    <w:rsid w:val="00F31CF4"/>
    <w:pPr>
      <w:spacing w:after="240" w:line="280" w:lineRule="exact"/>
      <w:jc w:val="both"/>
    </w:pPr>
    <w:rPr>
      <w:rFonts w:ascii="Arial" w:hAnsi="Arial" w:cs="Arial"/>
      <w:kern w:val="0"/>
      <w:lang w:val="de-DE"/>
      <w14:ligatures w14:val="none"/>
    </w:rPr>
  </w:style>
  <w:style w:type="character" w:styleId="PlaceholderText">
    <w:name w:val="Placeholder Text"/>
    <w:basedOn w:val="DefaultParagraphFont"/>
    <w:uiPriority w:val="99"/>
    <w:semiHidden/>
    <w:rsid w:val="00F31CF4"/>
    <w:rPr>
      <w:color w:val="808080"/>
    </w:rPr>
  </w:style>
  <w:style w:type="paragraph" w:customStyle="1" w:styleId="HaAufzhlung">
    <w:name w:val="Ha_Aufzählung"/>
    <w:basedOn w:val="Normal"/>
    <w:qFormat/>
    <w:rsid w:val="00F31CF4"/>
    <w:pPr>
      <w:numPr>
        <w:ilvl w:val="3"/>
        <w:numId w:val="16"/>
      </w:numPr>
      <w:spacing w:after="60" w:line="280" w:lineRule="exact"/>
      <w:jc w:val="both"/>
    </w:pPr>
    <w:rPr>
      <w:rFonts w:ascii="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vingplanetindex.org/data_porta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ites.org/eng/resources/terms/glossary.php"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frontiersin.org/articles/10.3389/fevo.2021.682124/full" TargetMode="External"/><Relationship Id="rId3" Type="http://schemas.openxmlformats.org/officeDocument/2006/relationships/hyperlink" Target="https://portals.iucn.org/library/node/10315" TargetMode="External"/><Relationship Id="rId7" Type="http://schemas.openxmlformats.org/officeDocument/2006/relationships/hyperlink" Target="https://conbio.onlinelibrary.wiley.com/doi/10.1111/cobi.13721" TargetMode="External"/><Relationship Id="rId2" Type="http://schemas.openxmlformats.org/officeDocument/2006/relationships/hyperlink" Target="https://conbio.onlinelibrary.wiley.com/action/downloadSupplement?doi=10.1111%2Fcobi.13486&amp;file=cobi13486-sup-0004-TableS4.xlsx" TargetMode="External"/><Relationship Id="rId1" Type="http://schemas.openxmlformats.org/officeDocument/2006/relationships/hyperlink" Target="https://birdsoftheworld.org/" TargetMode="External"/><Relationship Id="rId6" Type="http://schemas.openxmlformats.org/officeDocument/2006/relationships/hyperlink" Target="https://www.publish.csiro.au/mu/MU13094_CO" TargetMode="External"/><Relationship Id="rId11" Type="http://schemas.openxmlformats.org/officeDocument/2006/relationships/hyperlink" Target="https://iucnhornbills.org/wp-content/uploads/2018/09/HelmetedHornbill_actionplan_final_LR.pdf" TargetMode="External"/><Relationship Id="rId5" Type="http://schemas.openxmlformats.org/officeDocument/2006/relationships/hyperlink" Target="https://doi.org/10.5061/dryad.02v6wwq48" TargetMode="External"/><Relationship Id="rId10" Type="http://schemas.openxmlformats.org/officeDocument/2006/relationships/hyperlink" Target="http://datazone.birdlife.org/userfiles/file/Species/Taxonomy/HBW-BirdLife_Checklist_v7_Dec22.zip" TargetMode="External"/><Relationship Id="rId4" Type="http://schemas.openxmlformats.org/officeDocument/2006/relationships/hyperlink" Target="https://www.nature.com/articles/s41597-022-01838-w" TargetMode="External"/><Relationship Id="rId9" Type="http://schemas.openxmlformats.org/officeDocument/2006/relationships/hyperlink" Target="https://www.livingplanetindex.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5272</Words>
  <Characters>29000</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natusch</dc:creator>
  <cp:keywords/>
  <dc:description/>
  <cp:lastModifiedBy>Thea Henriette Carroll</cp:lastModifiedBy>
  <cp:revision>2</cp:revision>
  <dcterms:created xsi:type="dcterms:W3CDTF">2023-10-12T07:09:00Z</dcterms:created>
  <dcterms:modified xsi:type="dcterms:W3CDTF">2023-10-12T07:09:00Z</dcterms:modified>
</cp:coreProperties>
</file>