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8CC7" w14:textId="70FD6DA8" w:rsidR="00E74588" w:rsidRPr="00947AC3" w:rsidRDefault="00E74588" w:rsidP="00E74588">
      <w:pPr>
        <w:spacing w:after="240"/>
        <w:ind w:left="360" w:hanging="360"/>
        <w:jc w:val="center"/>
        <w:rPr>
          <w:rFonts w:ascii="Archivo" w:hAnsi="Archivo"/>
          <w:b/>
          <w:bCs/>
        </w:rPr>
      </w:pPr>
      <w:r w:rsidRPr="00947AC3">
        <w:rPr>
          <w:rFonts w:ascii="Archivo" w:hAnsi="Archivo"/>
          <w:b/>
          <w:bCs/>
        </w:rPr>
        <w:t xml:space="preserve">INTRODUCTION AND PREAMBULAR TEXT </w:t>
      </w:r>
    </w:p>
    <w:p w14:paraId="5254FE8C" w14:textId="77777777" w:rsidR="0065108E" w:rsidRPr="00947AC3" w:rsidRDefault="0065108E">
      <w:pPr>
        <w:rPr>
          <w:rFonts w:ascii="Archivo" w:hAnsi="Archivo"/>
        </w:rPr>
      </w:pPr>
    </w:p>
    <w:p w14:paraId="21B619F4" w14:textId="77777777" w:rsidR="0065108E" w:rsidRPr="00947AC3" w:rsidRDefault="0065108E" w:rsidP="0065108E">
      <w:pPr>
        <w:pStyle w:val="Heading1"/>
        <w:rPr>
          <w:rFonts w:ascii="Archivo" w:hAnsi="Archivo" w:cs="Calibri"/>
          <w:b/>
          <w:bCs/>
          <w:sz w:val="24"/>
          <w:szCs w:val="24"/>
        </w:rPr>
      </w:pPr>
      <w:r w:rsidRPr="00947AC3">
        <w:rPr>
          <w:rFonts w:ascii="Archivo" w:hAnsi="Archivo" w:cs="Calibri"/>
          <w:b/>
          <w:bCs/>
          <w:sz w:val="24"/>
          <w:szCs w:val="24"/>
        </w:rPr>
        <w:t>Introduction</w:t>
      </w:r>
    </w:p>
    <w:p w14:paraId="620E57FE" w14:textId="77777777" w:rsidR="0065108E" w:rsidRPr="00947AC3" w:rsidRDefault="0065108E" w:rsidP="0065108E">
      <w:pPr>
        <w:rPr>
          <w:rFonts w:ascii="Archivo" w:hAnsi="Archivo" w:cs="Calibri"/>
          <w:sz w:val="20"/>
          <w:szCs w:val="20"/>
        </w:rPr>
      </w:pPr>
    </w:p>
    <w:p w14:paraId="5B528782" w14:textId="2F64E744" w:rsidR="00E32C31" w:rsidRPr="00947AC3" w:rsidRDefault="0065108E" w:rsidP="00621B4E">
      <w:pPr>
        <w:jc w:val="both"/>
        <w:rPr>
          <w:rFonts w:ascii="Archivo" w:hAnsi="Archivo" w:cs="Calibri"/>
          <w:sz w:val="20"/>
          <w:szCs w:val="20"/>
        </w:rPr>
      </w:pPr>
      <w:r w:rsidRPr="00947AC3">
        <w:rPr>
          <w:rFonts w:ascii="Archivo" w:hAnsi="Archivo" w:cs="Calibri"/>
          <w:sz w:val="20"/>
          <w:szCs w:val="20"/>
        </w:rPr>
        <w:t xml:space="preserve">The Convention on International Trade in Endangered Species of Wild Fauna and Flora (CITES) requires that export permits for specimens of species included in CITES’ Appendices I and II shall be granted only when a Scientific Authority of the State of export has advised that such export will </w:t>
      </w:r>
      <w:r w:rsidRPr="00947AC3">
        <w:rPr>
          <w:rFonts w:ascii="Archivo" w:hAnsi="Archivo" w:cs="Calibri"/>
          <w:b/>
          <w:bCs/>
          <w:sz w:val="20"/>
          <w:szCs w:val="20"/>
        </w:rPr>
        <w:t>not be detrimental to the survival of the species</w:t>
      </w:r>
      <w:r w:rsidRPr="00947AC3">
        <w:rPr>
          <w:rFonts w:ascii="Archivo" w:hAnsi="Archivo" w:cs="Calibri"/>
          <w:sz w:val="20"/>
          <w:szCs w:val="20"/>
        </w:rPr>
        <w:t xml:space="preserve"> (following a determination known as a </w:t>
      </w:r>
      <w:r w:rsidRPr="00947AC3">
        <w:rPr>
          <w:rFonts w:ascii="Archivo" w:hAnsi="Archivo" w:cs="Calibri"/>
          <w:b/>
          <w:bCs/>
          <w:sz w:val="20"/>
          <w:szCs w:val="20"/>
        </w:rPr>
        <w:t>'non-detriment finding</w:t>
      </w:r>
      <w:r w:rsidRPr="00947AC3">
        <w:rPr>
          <w:rFonts w:ascii="Archivo" w:hAnsi="Archivo" w:cs="Calibri"/>
          <w:sz w:val="20"/>
          <w:szCs w:val="20"/>
        </w:rPr>
        <w:t>')</w:t>
      </w:r>
      <w:r w:rsidR="00700BB4">
        <w:rPr>
          <w:rFonts w:ascii="Archivo" w:hAnsi="Archivo" w:cs="Calibri"/>
          <w:sz w:val="20"/>
          <w:szCs w:val="20"/>
        </w:rPr>
        <w:t xml:space="preserve"> and in the case of Appendix I imports, that</w:t>
      </w:r>
      <w:r w:rsidR="00387095">
        <w:rPr>
          <w:rFonts w:ascii="Archivo" w:hAnsi="Archivo" w:cs="Calibri"/>
          <w:sz w:val="20"/>
          <w:szCs w:val="20"/>
        </w:rPr>
        <w:t xml:space="preserve"> the purpose of the import will not be detrimental to the survival of the species.</w:t>
      </w:r>
      <w:r w:rsidR="00E32C31" w:rsidRPr="00947AC3">
        <w:rPr>
          <w:rFonts w:ascii="Archivo" w:hAnsi="Archivo" w:cs="Calibri"/>
          <w:sz w:val="20"/>
          <w:szCs w:val="20"/>
        </w:rPr>
        <w:t xml:space="preserve"> </w:t>
      </w:r>
    </w:p>
    <w:p w14:paraId="08257713" w14:textId="77777777" w:rsidR="0065108E" w:rsidRPr="00947AC3" w:rsidRDefault="0065108E" w:rsidP="00621B4E">
      <w:pPr>
        <w:jc w:val="both"/>
        <w:rPr>
          <w:rFonts w:ascii="Archivo" w:hAnsi="Archivo" w:cs="Calibri"/>
          <w:sz w:val="20"/>
          <w:szCs w:val="20"/>
        </w:rPr>
      </w:pPr>
    </w:p>
    <w:p w14:paraId="2055B626" w14:textId="2116A284" w:rsidR="0065108E" w:rsidRPr="00947AC3" w:rsidRDefault="0065108E" w:rsidP="00621B4E">
      <w:pPr>
        <w:jc w:val="both"/>
        <w:rPr>
          <w:rFonts w:ascii="Archivo" w:hAnsi="Archivo" w:cs="Calibri"/>
          <w:sz w:val="20"/>
          <w:szCs w:val="20"/>
        </w:rPr>
      </w:pPr>
      <w:r w:rsidRPr="00947AC3">
        <w:rPr>
          <w:rFonts w:ascii="Archivo" w:hAnsi="Archivo" w:cs="Calibri"/>
          <w:sz w:val="20"/>
          <w:szCs w:val="20"/>
        </w:rPr>
        <w:t>This document provides guidance to CITES Parties</w:t>
      </w:r>
      <w:r w:rsidR="00621B4E" w:rsidRPr="00621B4E">
        <w:rPr>
          <w:rFonts w:ascii="Archivo" w:hAnsi="Archivo" w:cs="Calibri"/>
          <w:sz w:val="20"/>
          <w:szCs w:val="20"/>
        </w:rPr>
        <w:t xml:space="preserve"> </w:t>
      </w:r>
      <w:r w:rsidRPr="00947AC3">
        <w:rPr>
          <w:rFonts w:ascii="Archivo" w:hAnsi="Archivo" w:cs="Calibri"/>
          <w:sz w:val="20"/>
          <w:szCs w:val="20"/>
        </w:rPr>
        <w:t>– primarily the CITES Scientific Authority</w:t>
      </w:r>
      <w:r w:rsidR="00947AC3">
        <w:rPr>
          <w:rFonts w:ascii="Archivo" w:hAnsi="Archivo" w:cs="Calibri"/>
          <w:sz w:val="20"/>
          <w:szCs w:val="20"/>
        </w:rPr>
        <w:t xml:space="preserve"> </w:t>
      </w:r>
      <w:r w:rsidRPr="00947AC3">
        <w:rPr>
          <w:rFonts w:ascii="Archivo" w:hAnsi="Archivo" w:cs="Calibri"/>
          <w:sz w:val="20"/>
          <w:szCs w:val="20"/>
        </w:rPr>
        <w:t xml:space="preserve">– on how to determine </w:t>
      </w:r>
      <w:proofErr w:type="gramStart"/>
      <w:r w:rsidRPr="00947AC3">
        <w:rPr>
          <w:rFonts w:ascii="Archivo" w:hAnsi="Archivo" w:cs="Calibri"/>
          <w:sz w:val="20"/>
          <w:szCs w:val="20"/>
        </w:rPr>
        <w:t>whether or not</w:t>
      </w:r>
      <w:proofErr w:type="gramEnd"/>
      <w:r w:rsidRPr="00947AC3">
        <w:rPr>
          <w:rFonts w:ascii="Archivo" w:hAnsi="Archivo" w:cs="Calibri"/>
          <w:sz w:val="20"/>
          <w:szCs w:val="20"/>
        </w:rPr>
        <w:t xml:space="preserve"> </w:t>
      </w:r>
      <w:r w:rsidR="00621B4E">
        <w:rPr>
          <w:rFonts w:ascii="Archivo" w:hAnsi="Archivo" w:cs="Calibri"/>
          <w:sz w:val="20"/>
          <w:szCs w:val="20"/>
        </w:rPr>
        <w:t xml:space="preserve">trade </w:t>
      </w:r>
      <w:r w:rsidR="00582007">
        <w:rPr>
          <w:rFonts w:ascii="Archivo" w:hAnsi="Archivo" w:cs="Calibri"/>
          <w:sz w:val="20"/>
          <w:szCs w:val="20"/>
        </w:rPr>
        <w:t>of</w:t>
      </w:r>
      <w:r w:rsidRPr="00947AC3">
        <w:rPr>
          <w:rFonts w:ascii="Archivo" w:hAnsi="Archivo" w:cs="Calibri"/>
          <w:sz w:val="20"/>
          <w:szCs w:val="20"/>
        </w:rPr>
        <w:t xml:space="preserve"> CITES-listed specimens </w:t>
      </w:r>
      <w:r w:rsidR="00D223AC" w:rsidRPr="00947AC3">
        <w:rPr>
          <w:rFonts w:ascii="Archivo" w:hAnsi="Archivo" w:cs="Calibri"/>
          <w:sz w:val="20"/>
          <w:szCs w:val="20"/>
        </w:rPr>
        <w:t>is</w:t>
      </w:r>
      <w:r w:rsidRPr="00947AC3">
        <w:rPr>
          <w:rFonts w:ascii="Archivo" w:hAnsi="Archivo" w:cs="Calibri"/>
          <w:sz w:val="20"/>
          <w:szCs w:val="20"/>
        </w:rPr>
        <w:t xml:space="preserve"> detrimental. </w:t>
      </w:r>
      <w:r w:rsidR="00E32C31" w:rsidRPr="00947AC3">
        <w:rPr>
          <w:rFonts w:ascii="Archivo" w:hAnsi="Archivo" w:cs="Calibri"/>
          <w:sz w:val="20"/>
          <w:szCs w:val="20"/>
        </w:rPr>
        <w:t>In addition to offering guidance on undertaking non-detriment findings for direct exports of CITES-listed specimens, guidance is also provided to assist CITES Parties to ensure non-detriment in relation to the follo</w:t>
      </w:r>
      <w:r w:rsidR="00EB3060" w:rsidRPr="00947AC3">
        <w:rPr>
          <w:rFonts w:ascii="Archivo" w:hAnsi="Archivo" w:cs="Calibri"/>
          <w:sz w:val="20"/>
          <w:szCs w:val="20"/>
        </w:rPr>
        <w:t>w</w:t>
      </w:r>
      <w:r w:rsidR="00E32C31" w:rsidRPr="00947AC3">
        <w:rPr>
          <w:rFonts w:ascii="Archivo" w:hAnsi="Archivo" w:cs="Calibri"/>
          <w:sz w:val="20"/>
          <w:szCs w:val="20"/>
        </w:rPr>
        <w:t xml:space="preserve">ing focal areas: </w:t>
      </w:r>
    </w:p>
    <w:p w14:paraId="133983A8" w14:textId="77777777" w:rsidR="0065108E" w:rsidRPr="00947AC3" w:rsidRDefault="0065108E" w:rsidP="00621B4E">
      <w:pPr>
        <w:jc w:val="both"/>
        <w:rPr>
          <w:rFonts w:ascii="Archivo" w:hAnsi="Archivo" w:cs="Calibri"/>
          <w:sz w:val="20"/>
          <w:szCs w:val="20"/>
        </w:rPr>
      </w:pPr>
    </w:p>
    <w:p w14:paraId="207C922F" w14:textId="77777777" w:rsidR="0065108E" w:rsidRPr="00947AC3" w:rsidRDefault="0065108E" w:rsidP="00621B4E">
      <w:pPr>
        <w:jc w:val="both"/>
        <w:rPr>
          <w:rFonts w:ascii="Archivo" w:hAnsi="Archivo" w:cs="Calibri"/>
          <w:b/>
          <w:bCs/>
          <w:sz w:val="20"/>
          <w:szCs w:val="20"/>
        </w:rPr>
      </w:pPr>
      <w:r w:rsidRPr="00947AC3">
        <w:rPr>
          <w:rFonts w:ascii="Archivo" w:hAnsi="Archivo" w:cs="Calibri"/>
          <w:b/>
          <w:bCs/>
          <w:sz w:val="20"/>
          <w:szCs w:val="20"/>
        </w:rPr>
        <w:t>Appendix I Imports</w:t>
      </w:r>
    </w:p>
    <w:p w14:paraId="6600D9DB" w14:textId="6007E1C5" w:rsidR="0065108E" w:rsidRPr="00947AC3" w:rsidRDefault="0065108E" w:rsidP="00621B4E">
      <w:pPr>
        <w:jc w:val="both"/>
        <w:rPr>
          <w:rFonts w:ascii="Archivo" w:hAnsi="Archivo"/>
          <w:color w:val="231F20"/>
          <w:sz w:val="20"/>
          <w:szCs w:val="20"/>
          <w:shd w:val="clear" w:color="auto" w:fill="FFFFFF"/>
        </w:rPr>
      </w:pPr>
      <w:proofErr w:type="spellStart"/>
      <w:r w:rsidRPr="00947AC3">
        <w:rPr>
          <w:rFonts w:ascii="Archivo" w:hAnsi="Archivo"/>
          <w:i/>
          <w:iCs/>
          <w:color w:val="231F20"/>
          <w:sz w:val="20"/>
          <w:szCs w:val="20"/>
          <w:shd w:val="clear" w:color="auto" w:fill="FFFFFF"/>
        </w:rPr>
        <w:t>Sensu</w:t>
      </w:r>
      <w:proofErr w:type="spellEnd"/>
      <w:r w:rsidRPr="00947AC3">
        <w:rPr>
          <w:rFonts w:ascii="Archivo" w:hAnsi="Archivo"/>
          <w:color w:val="231F20"/>
          <w:sz w:val="20"/>
          <w:szCs w:val="20"/>
          <w:shd w:val="clear" w:color="auto" w:fill="FFFFFF"/>
        </w:rPr>
        <w:t xml:space="preserve"> </w:t>
      </w:r>
      <w:hyperlink r:id="rId6" w:anchor="III" w:history="1">
        <w:r w:rsidRPr="00947AC3">
          <w:rPr>
            <w:rStyle w:val="Hyperlink"/>
            <w:rFonts w:ascii="Archivo" w:hAnsi="Archivo"/>
            <w:sz w:val="20"/>
            <w:szCs w:val="20"/>
            <w:shd w:val="clear" w:color="auto" w:fill="FFFFFF"/>
          </w:rPr>
          <w:t>Article III Paragraph 3a</w:t>
        </w:r>
      </w:hyperlink>
      <w:r w:rsidRPr="00947AC3">
        <w:rPr>
          <w:rFonts w:ascii="Archivo" w:hAnsi="Archivo"/>
          <w:color w:val="231F20"/>
          <w:sz w:val="20"/>
          <w:szCs w:val="20"/>
          <w:shd w:val="clear" w:color="auto" w:fill="FFFFFF"/>
        </w:rPr>
        <w:t xml:space="preserve"> - </w:t>
      </w:r>
      <w:r w:rsidRPr="00947AC3">
        <w:rPr>
          <w:rFonts w:ascii="Archivo" w:hAnsi="Archivo"/>
          <w:i/>
          <w:iCs/>
          <w:color w:val="231F20"/>
          <w:sz w:val="20"/>
          <w:szCs w:val="20"/>
          <w:shd w:val="clear" w:color="auto" w:fill="FFFFFF"/>
        </w:rPr>
        <w:t>a Scientific Authority of the State of import has advised that the import will be for purposes which are not detrimental to the survival of the species involved</w:t>
      </w:r>
      <w:r w:rsidRPr="00947AC3">
        <w:rPr>
          <w:rFonts w:ascii="Archivo" w:hAnsi="Archivo"/>
          <w:color w:val="231F20"/>
          <w:sz w:val="20"/>
          <w:szCs w:val="20"/>
          <w:shd w:val="clear" w:color="auto" w:fill="FFFFFF"/>
        </w:rPr>
        <w:t>;</w:t>
      </w:r>
    </w:p>
    <w:p w14:paraId="49B29D05" w14:textId="77777777" w:rsidR="0065108E" w:rsidRPr="00947AC3" w:rsidRDefault="0065108E" w:rsidP="00621B4E">
      <w:pPr>
        <w:jc w:val="both"/>
        <w:rPr>
          <w:rFonts w:ascii="Archivo" w:hAnsi="Archivo"/>
          <w:color w:val="231F20"/>
          <w:sz w:val="20"/>
          <w:szCs w:val="20"/>
          <w:shd w:val="clear" w:color="auto" w:fill="FFFFFF"/>
        </w:rPr>
      </w:pPr>
    </w:p>
    <w:p w14:paraId="643EA952" w14:textId="77777777" w:rsidR="0065108E" w:rsidRPr="00947AC3" w:rsidRDefault="0065108E" w:rsidP="00621B4E">
      <w:pPr>
        <w:jc w:val="both"/>
        <w:rPr>
          <w:rFonts w:ascii="Archivo" w:hAnsi="Archivo"/>
          <w:b/>
          <w:bCs/>
          <w:color w:val="231F20"/>
          <w:sz w:val="20"/>
          <w:szCs w:val="20"/>
          <w:shd w:val="clear" w:color="auto" w:fill="FFFFFF"/>
        </w:rPr>
      </w:pPr>
      <w:r w:rsidRPr="00947AC3">
        <w:rPr>
          <w:rFonts w:ascii="Archivo" w:hAnsi="Archivo"/>
          <w:b/>
          <w:bCs/>
          <w:color w:val="231F20"/>
          <w:sz w:val="20"/>
          <w:szCs w:val="20"/>
          <w:shd w:val="clear" w:color="auto" w:fill="FFFFFF"/>
        </w:rPr>
        <w:t>Introduction from the sea</w:t>
      </w:r>
    </w:p>
    <w:p w14:paraId="52F2AD31" w14:textId="67693741" w:rsidR="0065108E" w:rsidRPr="00947AC3" w:rsidRDefault="0065108E" w:rsidP="00621B4E">
      <w:pPr>
        <w:jc w:val="both"/>
        <w:rPr>
          <w:rFonts w:ascii="Archivo" w:hAnsi="Archivo"/>
          <w:color w:val="231F20"/>
          <w:sz w:val="20"/>
          <w:szCs w:val="20"/>
          <w:shd w:val="clear" w:color="auto" w:fill="FFFFFF"/>
        </w:rPr>
      </w:pPr>
      <w:proofErr w:type="spellStart"/>
      <w:r w:rsidRPr="00947AC3">
        <w:rPr>
          <w:rFonts w:ascii="Archivo" w:hAnsi="Archivo"/>
          <w:i/>
          <w:iCs/>
          <w:color w:val="231F20"/>
          <w:sz w:val="20"/>
          <w:szCs w:val="20"/>
          <w:shd w:val="clear" w:color="auto" w:fill="FFFFFF"/>
        </w:rPr>
        <w:t>Sensu</w:t>
      </w:r>
      <w:proofErr w:type="spellEnd"/>
      <w:r w:rsidRPr="00947AC3">
        <w:rPr>
          <w:rFonts w:ascii="Archivo" w:hAnsi="Archivo"/>
          <w:color w:val="231F20"/>
          <w:sz w:val="20"/>
          <w:szCs w:val="20"/>
          <w:shd w:val="clear" w:color="auto" w:fill="FFFFFF"/>
        </w:rPr>
        <w:t xml:space="preserve"> Articles </w:t>
      </w:r>
      <w:hyperlink r:id="rId7" w:anchor="III" w:history="1">
        <w:r w:rsidRPr="00947AC3">
          <w:rPr>
            <w:rStyle w:val="Hyperlink"/>
            <w:rFonts w:ascii="Archivo" w:hAnsi="Archivo"/>
            <w:sz w:val="20"/>
            <w:szCs w:val="20"/>
            <w:shd w:val="clear" w:color="auto" w:fill="FFFFFF"/>
          </w:rPr>
          <w:t>III 5(a)</w:t>
        </w:r>
      </w:hyperlink>
      <w:r w:rsidRPr="00947AC3">
        <w:rPr>
          <w:rFonts w:ascii="Archivo" w:hAnsi="Archivo"/>
          <w:color w:val="231F20"/>
          <w:sz w:val="20"/>
          <w:szCs w:val="20"/>
          <w:shd w:val="clear" w:color="auto" w:fill="FFFFFF"/>
        </w:rPr>
        <w:t xml:space="preserve"> and </w:t>
      </w:r>
      <w:hyperlink r:id="rId8" w:anchor="IV" w:history="1">
        <w:r w:rsidRPr="00947AC3">
          <w:rPr>
            <w:rStyle w:val="Hyperlink"/>
            <w:rFonts w:ascii="Archivo" w:hAnsi="Archivo"/>
            <w:sz w:val="20"/>
            <w:szCs w:val="20"/>
            <w:shd w:val="clear" w:color="auto" w:fill="FFFFFF"/>
          </w:rPr>
          <w:t>IV 6(a)</w:t>
        </w:r>
      </w:hyperlink>
      <w:r w:rsidRPr="00947AC3">
        <w:rPr>
          <w:rFonts w:ascii="Archivo" w:hAnsi="Archivo"/>
          <w:color w:val="231F20"/>
          <w:sz w:val="20"/>
          <w:szCs w:val="20"/>
          <w:shd w:val="clear" w:color="auto" w:fill="FFFFFF"/>
        </w:rPr>
        <w:t xml:space="preserve"> - </w:t>
      </w:r>
      <w:r w:rsidRPr="00947AC3">
        <w:rPr>
          <w:rFonts w:ascii="Archivo" w:hAnsi="Archivo"/>
          <w:i/>
          <w:iCs/>
          <w:color w:val="231F20"/>
          <w:sz w:val="20"/>
          <w:szCs w:val="20"/>
          <w:shd w:val="clear" w:color="auto" w:fill="FFFFFF"/>
        </w:rPr>
        <w:t>The introduction from the sea of any specimen of a species included in Appendix I or II shall require the prior grant of a certificate from a Management Authority of the State of introduction. A certificate shall only be granted when a Scientific Authority of the State of introduction advises that the introduction will not be detrimental to the survival of the species involved</w:t>
      </w:r>
    </w:p>
    <w:p w14:paraId="42EB1B0D" w14:textId="77777777" w:rsidR="0065108E" w:rsidRPr="00947AC3" w:rsidRDefault="0065108E" w:rsidP="00621B4E">
      <w:pPr>
        <w:jc w:val="both"/>
        <w:rPr>
          <w:rFonts w:ascii="Archivo" w:hAnsi="Archivo"/>
          <w:color w:val="231F20"/>
          <w:sz w:val="20"/>
          <w:szCs w:val="20"/>
          <w:shd w:val="clear" w:color="auto" w:fill="FFFFFF"/>
        </w:rPr>
      </w:pPr>
    </w:p>
    <w:p w14:paraId="50798AED" w14:textId="77777777" w:rsidR="0065108E" w:rsidRPr="00947AC3" w:rsidRDefault="0065108E" w:rsidP="00621B4E">
      <w:pPr>
        <w:jc w:val="both"/>
        <w:rPr>
          <w:rFonts w:ascii="Archivo" w:hAnsi="Archivo"/>
          <w:b/>
          <w:bCs/>
          <w:color w:val="231F20"/>
          <w:sz w:val="20"/>
          <w:szCs w:val="20"/>
          <w:shd w:val="clear" w:color="auto" w:fill="FFFFFF"/>
        </w:rPr>
      </w:pPr>
      <w:r w:rsidRPr="00947AC3">
        <w:rPr>
          <w:rFonts w:ascii="Archivo" w:hAnsi="Archivo"/>
          <w:b/>
          <w:bCs/>
          <w:color w:val="231F20"/>
          <w:sz w:val="20"/>
          <w:szCs w:val="20"/>
          <w:shd w:val="clear" w:color="auto" w:fill="FFFFFF"/>
        </w:rPr>
        <w:t>Role in the ecosystem</w:t>
      </w:r>
    </w:p>
    <w:p w14:paraId="61D391B1" w14:textId="192FD152" w:rsidR="0065108E" w:rsidRPr="00947AC3" w:rsidRDefault="00E32C31" w:rsidP="00621B4E">
      <w:pPr>
        <w:jc w:val="both"/>
        <w:rPr>
          <w:rFonts w:ascii="Archivo" w:hAnsi="Archivo" w:cs="Calibri"/>
          <w:sz w:val="20"/>
          <w:szCs w:val="20"/>
        </w:rPr>
      </w:pPr>
      <w:proofErr w:type="spellStart"/>
      <w:r w:rsidRPr="00947AC3">
        <w:rPr>
          <w:rFonts w:ascii="Archivo" w:hAnsi="Archivo"/>
          <w:i/>
          <w:iCs/>
          <w:color w:val="231F20"/>
          <w:sz w:val="20"/>
          <w:szCs w:val="20"/>
          <w:shd w:val="clear" w:color="auto" w:fill="FFFFFF"/>
        </w:rPr>
        <w:t>Sensu</w:t>
      </w:r>
      <w:proofErr w:type="spellEnd"/>
      <w:r w:rsidRPr="00947AC3">
        <w:rPr>
          <w:rFonts w:ascii="Archivo" w:hAnsi="Archivo"/>
          <w:color w:val="231F20"/>
          <w:sz w:val="20"/>
          <w:szCs w:val="20"/>
          <w:shd w:val="clear" w:color="auto" w:fill="FFFFFF"/>
        </w:rPr>
        <w:t xml:space="preserve"> </w:t>
      </w:r>
      <w:hyperlink r:id="rId9" w:anchor="IV" w:history="1">
        <w:r w:rsidRPr="00947AC3">
          <w:rPr>
            <w:rStyle w:val="Hyperlink"/>
            <w:rFonts w:ascii="Archivo" w:hAnsi="Archivo"/>
            <w:sz w:val="20"/>
            <w:szCs w:val="20"/>
            <w:shd w:val="clear" w:color="auto" w:fill="FFFFFF"/>
          </w:rPr>
          <w:t>Article IV Paragraph 3</w:t>
        </w:r>
      </w:hyperlink>
      <w:r w:rsidRPr="00947AC3">
        <w:rPr>
          <w:rFonts w:ascii="Archivo" w:hAnsi="Archivo"/>
          <w:color w:val="231F20"/>
          <w:sz w:val="20"/>
          <w:szCs w:val="20"/>
          <w:shd w:val="clear" w:color="auto" w:fill="FFFFFF"/>
        </w:rPr>
        <w:t xml:space="preserve"> - </w:t>
      </w:r>
      <w:r w:rsidRPr="00947AC3">
        <w:rPr>
          <w:rFonts w:ascii="Archivo" w:hAnsi="Archivo"/>
          <w:i/>
          <w:iCs/>
          <w:color w:val="231F20"/>
          <w:sz w:val="20"/>
          <w:szCs w:val="20"/>
          <w:shd w:val="clear" w:color="auto" w:fill="FFFFFF"/>
        </w:rPr>
        <w:t>Whenever a Scientific Authority determines that the export of specimens of any such species should be limited in order to maintain that species throughout its range at a level consistent with its role in the ecosystems in which it occurs and well above the level at which that species might become eligible for inclusion in Appendix I, the Scientific Authority shall advise the appropriate Management Authority of suitable measures to be taken to limit the grant of export permits for specimens of that species.</w:t>
      </w:r>
    </w:p>
    <w:p w14:paraId="05983867" w14:textId="77777777" w:rsidR="0065108E" w:rsidRPr="00947AC3" w:rsidRDefault="0065108E" w:rsidP="00621B4E">
      <w:pPr>
        <w:jc w:val="both"/>
        <w:rPr>
          <w:rFonts w:ascii="Archivo" w:hAnsi="Archivo" w:cs="Calibri"/>
          <w:sz w:val="20"/>
          <w:szCs w:val="20"/>
        </w:rPr>
      </w:pPr>
    </w:p>
    <w:p w14:paraId="3BB87B58" w14:textId="7CE2BC76" w:rsidR="0065108E" w:rsidRPr="00947AC3" w:rsidRDefault="0065108E" w:rsidP="00621B4E">
      <w:pPr>
        <w:jc w:val="both"/>
        <w:rPr>
          <w:rFonts w:ascii="Archivo" w:hAnsi="Archivo" w:cs="Calibri"/>
          <w:sz w:val="20"/>
          <w:szCs w:val="20"/>
        </w:rPr>
      </w:pPr>
      <w:r w:rsidRPr="00947AC3">
        <w:rPr>
          <w:rFonts w:ascii="Archivo" w:hAnsi="Archivo" w:cs="Calibri"/>
          <w:sz w:val="20"/>
          <w:szCs w:val="20"/>
        </w:rPr>
        <w:t xml:space="preserve">Although the preambular text to the Convention refers to non-detriment and non-detriment finding (NDF), it was not until CoP16 that resolution </w:t>
      </w:r>
      <w:hyperlink r:id="rId10" w:history="1">
        <w:r w:rsidRPr="00947AC3">
          <w:rPr>
            <w:rStyle w:val="Hyperlink"/>
            <w:rFonts w:ascii="Archivo" w:hAnsi="Archivo" w:cs="Calibri"/>
            <w:sz w:val="20"/>
            <w:szCs w:val="20"/>
          </w:rPr>
          <w:t xml:space="preserve">Res. Conf. 16.7 (Rev. CoP17) on </w:t>
        </w:r>
        <w:r w:rsidRPr="00947AC3">
          <w:rPr>
            <w:rStyle w:val="Hyperlink"/>
            <w:rFonts w:ascii="Archivo" w:hAnsi="Archivo" w:cs="Calibri"/>
            <w:i/>
            <w:iCs/>
            <w:sz w:val="20"/>
            <w:szCs w:val="20"/>
          </w:rPr>
          <w:t>Non-detriment Findings</w:t>
        </w:r>
      </w:hyperlink>
      <w:r w:rsidRPr="00947AC3">
        <w:rPr>
          <w:rFonts w:ascii="Archivo" w:hAnsi="Archivo" w:cs="Calibri"/>
          <w:sz w:val="20"/>
          <w:szCs w:val="20"/>
        </w:rPr>
        <w:t xml:space="preserve"> was adopted. </w:t>
      </w:r>
    </w:p>
    <w:p w14:paraId="3A73AE1D" w14:textId="77777777" w:rsidR="00EB3060" w:rsidRPr="00947AC3" w:rsidRDefault="00EB3060" w:rsidP="00621B4E">
      <w:pPr>
        <w:jc w:val="both"/>
        <w:rPr>
          <w:rFonts w:ascii="Archivo" w:hAnsi="Archivo" w:cs="Calibri"/>
          <w:sz w:val="20"/>
          <w:szCs w:val="20"/>
        </w:rPr>
      </w:pPr>
    </w:p>
    <w:p w14:paraId="1B5524F5" w14:textId="50930319" w:rsidR="00EB3060" w:rsidRDefault="00EB3060" w:rsidP="0063233A">
      <w:pPr>
        <w:jc w:val="both"/>
        <w:rPr>
          <w:rFonts w:ascii="Archivo" w:hAnsi="Archivo" w:cs="Calibri"/>
          <w:sz w:val="20"/>
          <w:szCs w:val="20"/>
        </w:rPr>
      </w:pPr>
      <w:r w:rsidRPr="00947AC3">
        <w:rPr>
          <w:rFonts w:ascii="Archivo" w:hAnsi="Archivo" w:cs="Calibri"/>
          <w:sz w:val="20"/>
          <w:szCs w:val="20"/>
        </w:rPr>
        <w:t xml:space="preserve">To </w:t>
      </w:r>
      <w:r w:rsidR="00947AC3">
        <w:rPr>
          <w:rFonts w:ascii="Archivo" w:hAnsi="Archivo" w:cs="Calibri"/>
          <w:sz w:val="20"/>
          <w:szCs w:val="20"/>
        </w:rPr>
        <w:t>make</w:t>
      </w:r>
      <w:r w:rsidRPr="00947AC3">
        <w:rPr>
          <w:rFonts w:ascii="Archivo" w:hAnsi="Archivo" w:cs="Calibri"/>
          <w:sz w:val="20"/>
          <w:szCs w:val="20"/>
        </w:rPr>
        <w:t xml:space="preserve"> non-detriment findings, all Parties are required to designate Scientific Authorities (</w:t>
      </w:r>
      <w:hyperlink r:id="rId11" w:history="1">
        <w:r w:rsidRPr="00947AC3">
          <w:rPr>
            <w:rStyle w:val="Hyperlink"/>
            <w:rFonts w:ascii="Archivo" w:hAnsi="Archivo" w:cs="Calibri"/>
            <w:sz w:val="20"/>
            <w:szCs w:val="20"/>
          </w:rPr>
          <w:t>Res Conf. 10.3*</w:t>
        </w:r>
      </w:hyperlink>
      <w:r w:rsidRPr="00947AC3">
        <w:rPr>
          <w:rFonts w:ascii="Archivo" w:hAnsi="Archivo" w:cs="Calibri"/>
          <w:sz w:val="20"/>
          <w:szCs w:val="20"/>
        </w:rPr>
        <w:t>)</w:t>
      </w:r>
      <w:r w:rsidR="00D223AC" w:rsidRPr="00947AC3">
        <w:rPr>
          <w:rFonts w:ascii="Archivo" w:hAnsi="Archivo" w:cs="Calibri"/>
          <w:sz w:val="20"/>
          <w:szCs w:val="20"/>
        </w:rPr>
        <w:t>. Scientific Authorities are tasked with undertaking the assessments for whether or not trade in CITES-listed specimens may be detrimental to their survival in the wild.</w:t>
      </w:r>
      <w:r w:rsidR="00ED599D" w:rsidRPr="00947AC3">
        <w:rPr>
          <w:rFonts w:ascii="Archivo" w:hAnsi="Archivo" w:cs="Calibri"/>
          <w:sz w:val="20"/>
          <w:szCs w:val="20"/>
        </w:rPr>
        <w:t xml:space="preserve"> The work of CITES Scientific Authorities takes place in close coordination with the work of CITES Management Authorities</w:t>
      </w:r>
      <w:r w:rsidR="00947AC3">
        <w:rPr>
          <w:rFonts w:ascii="Archivo" w:hAnsi="Archivo" w:cs="Calibri"/>
          <w:sz w:val="20"/>
          <w:szCs w:val="20"/>
        </w:rPr>
        <w:t xml:space="preserve"> (MA)</w:t>
      </w:r>
      <w:r w:rsidR="00ED599D" w:rsidRPr="00947AC3">
        <w:rPr>
          <w:rFonts w:ascii="Archivo" w:hAnsi="Archivo" w:cs="Calibri"/>
          <w:sz w:val="20"/>
          <w:szCs w:val="20"/>
        </w:rPr>
        <w:t xml:space="preserve">, and specifically the need to undertake </w:t>
      </w:r>
      <w:hyperlink r:id="rId12" w:anchor="l" w:history="1">
        <w:r w:rsidR="00ED599D" w:rsidRPr="00947AC3">
          <w:rPr>
            <w:rStyle w:val="Hyperlink"/>
            <w:rFonts w:ascii="Archivo" w:hAnsi="Archivo" w:cs="Calibri"/>
            <w:sz w:val="20"/>
            <w:szCs w:val="20"/>
          </w:rPr>
          <w:t>Legal Acquisition Findings</w:t>
        </w:r>
      </w:hyperlink>
      <w:r w:rsidR="00ED599D" w:rsidRPr="00947AC3">
        <w:rPr>
          <w:rFonts w:ascii="Archivo" w:hAnsi="Archivo" w:cs="Calibri"/>
          <w:sz w:val="20"/>
          <w:szCs w:val="20"/>
        </w:rPr>
        <w:t xml:space="preserve"> (</w:t>
      </w:r>
      <w:hyperlink r:id="rId13" w:history="1">
        <w:r w:rsidR="00EF74EE" w:rsidRPr="00FB0611">
          <w:rPr>
            <w:rStyle w:val="Hyperlink"/>
            <w:rFonts w:ascii="Archivo" w:hAnsi="Archivo" w:cs="Calibri"/>
            <w:sz w:val="20"/>
            <w:szCs w:val="20"/>
          </w:rPr>
          <w:t>Res Conf</w:t>
        </w:r>
        <w:r w:rsidR="00FB0611" w:rsidRPr="00FB0611">
          <w:rPr>
            <w:rStyle w:val="Hyperlink"/>
            <w:rFonts w:ascii="Archivo" w:hAnsi="Archivo" w:cs="Calibri"/>
            <w:sz w:val="20"/>
            <w:szCs w:val="20"/>
          </w:rPr>
          <w:t>. 18.7 (Rev. CoP19)</w:t>
        </w:r>
      </w:hyperlink>
      <w:r w:rsidR="00FB0611">
        <w:rPr>
          <w:rFonts w:ascii="Archivo" w:hAnsi="Archivo" w:cs="Calibri"/>
          <w:sz w:val="20"/>
          <w:szCs w:val="20"/>
        </w:rPr>
        <w:t xml:space="preserve"> </w:t>
      </w:r>
      <w:r w:rsidR="00ED599D" w:rsidRPr="00947AC3">
        <w:rPr>
          <w:rFonts w:ascii="Archivo" w:hAnsi="Archivo" w:cs="Calibri"/>
          <w:sz w:val="20"/>
          <w:szCs w:val="20"/>
        </w:rPr>
        <w:t xml:space="preserve">led by the CITES MA) to ensure specimens in trade have been legally acquired.  </w:t>
      </w:r>
    </w:p>
    <w:p w14:paraId="00ED2917" w14:textId="77777777" w:rsidR="00FB0611" w:rsidRDefault="00FB0611" w:rsidP="0063233A">
      <w:pPr>
        <w:jc w:val="both"/>
        <w:rPr>
          <w:rFonts w:ascii="Archivo" w:hAnsi="Archivo" w:cs="Calibri"/>
          <w:sz w:val="20"/>
          <w:szCs w:val="20"/>
        </w:rPr>
      </w:pPr>
    </w:p>
    <w:p w14:paraId="105C461D" w14:textId="77777777" w:rsidR="00272573" w:rsidRDefault="00C56740" w:rsidP="0063233A">
      <w:pPr>
        <w:jc w:val="both"/>
        <w:rPr>
          <w:rFonts w:ascii="Archivo" w:hAnsi="Archivo" w:cs="Calibri"/>
          <w:sz w:val="20"/>
          <w:szCs w:val="20"/>
        </w:rPr>
      </w:pPr>
      <w:r>
        <w:rPr>
          <w:rFonts w:ascii="Archivo" w:hAnsi="Archivo" w:cs="Calibri"/>
          <w:sz w:val="20"/>
          <w:szCs w:val="20"/>
        </w:rPr>
        <w:t>Multiple guidance materials have been developed by CITES Parties and stakeholders</w:t>
      </w:r>
      <w:r w:rsidR="00146FD4">
        <w:rPr>
          <w:rFonts w:ascii="Archivo" w:hAnsi="Archivo" w:cs="Calibri"/>
          <w:sz w:val="20"/>
          <w:szCs w:val="20"/>
        </w:rPr>
        <w:t xml:space="preserve"> and the CITES Secretariat provides a dedicated database </w:t>
      </w:r>
      <w:r w:rsidR="009325BB">
        <w:rPr>
          <w:rFonts w:ascii="Archivo" w:hAnsi="Archivo" w:cs="Calibri"/>
          <w:sz w:val="20"/>
          <w:szCs w:val="20"/>
        </w:rPr>
        <w:t xml:space="preserve">on the CITES </w:t>
      </w:r>
      <w:r w:rsidR="006B25A5">
        <w:rPr>
          <w:rFonts w:ascii="Archivo" w:hAnsi="Archivo" w:cs="Calibri"/>
          <w:sz w:val="20"/>
          <w:szCs w:val="20"/>
        </w:rPr>
        <w:t>virtual college (</w:t>
      </w:r>
      <w:hyperlink r:id="rId14" w:history="1">
        <w:r w:rsidR="006B25A5" w:rsidRPr="006B25A5">
          <w:rPr>
            <w:rStyle w:val="Hyperlink"/>
            <w:rFonts w:ascii="Archivo" w:hAnsi="Archivo" w:cs="Calibri"/>
            <w:sz w:val="20"/>
            <w:szCs w:val="20"/>
          </w:rPr>
          <w:t>NDF Reports Database</w:t>
        </w:r>
      </w:hyperlink>
      <w:r w:rsidR="006B25A5">
        <w:rPr>
          <w:rFonts w:ascii="Archivo" w:hAnsi="Archivo" w:cs="Calibri"/>
          <w:sz w:val="20"/>
          <w:szCs w:val="20"/>
        </w:rPr>
        <w:t xml:space="preserve">) </w:t>
      </w:r>
      <w:r w:rsidR="00146FD4">
        <w:rPr>
          <w:rFonts w:ascii="Archivo" w:hAnsi="Archivo" w:cs="Calibri"/>
          <w:sz w:val="20"/>
          <w:szCs w:val="20"/>
        </w:rPr>
        <w:t xml:space="preserve">in which NDF materials can be shared, </w:t>
      </w:r>
      <w:r w:rsidR="00A77DC7">
        <w:rPr>
          <w:rFonts w:ascii="Archivo" w:hAnsi="Archivo" w:cs="Calibri"/>
          <w:sz w:val="20"/>
          <w:szCs w:val="20"/>
        </w:rPr>
        <w:t>accessed,</w:t>
      </w:r>
      <w:r w:rsidR="00146FD4">
        <w:rPr>
          <w:rFonts w:ascii="Archivo" w:hAnsi="Archivo" w:cs="Calibri"/>
          <w:sz w:val="20"/>
          <w:szCs w:val="20"/>
        </w:rPr>
        <w:t xml:space="preserve"> and searched by taxonomic group and country.</w:t>
      </w:r>
      <w:r w:rsidR="00980FCA">
        <w:rPr>
          <w:rFonts w:ascii="Archivo" w:hAnsi="Archivo" w:cs="Calibri"/>
          <w:sz w:val="20"/>
          <w:szCs w:val="20"/>
        </w:rPr>
        <w:t xml:space="preserve"> A </w:t>
      </w:r>
      <w:hyperlink r:id="rId15" w:history="1">
        <w:r w:rsidR="00980FCA" w:rsidRPr="00A77DC7">
          <w:rPr>
            <w:rStyle w:val="Hyperlink"/>
            <w:rFonts w:ascii="Archivo" w:hAnsi="Archivo" w:cs="Calibri"/>
            <w:sz w:val="20"/>
            <w:szCs w:val="20"/>
          </w:rPr>
          <w:t>NDF capacity building</w:t>
        </w:r>
      </w:hyperlink>
      <w:r w:rsidR="00980FCA">
        <w:rPr>
          <w:rFonts w:ascii="Archivo" w:hAnsi="Archivo" w:cs="Calibri"/>
          <w:sz w:val="20"/>
          <w:szCs w:val="20"/>
        </w:rPr>
        <w:t xml:space="preserve"> page on the CITES website also facilitates access to </w:t>
      </w:r>
      <w:r w:rsidR="00A77DC7">
        <w:rPr>
          <w:rFonts w:ascii="Archivo" w:hAnsi="Archivo" w:cs="Calibri"/>
          <w:sz w:val="20"/>
          <w:szCs w:val="20"/>
        </w:rPr>
        <w:t>training material and guidance developed by CITES Parties and stakeholders.</w:t>
      </w:r>
      <w:r w:rsidR="00E3585D">
        <w:rPr>
          <w:rFonts w:ascii="Archivo" w:hAnsi="Archivo" w:cs="Calibri"/>
          <w:sz w:val="20"/>
          <w:szCs w:val="20"/>
        </w:rPr>
        <w:t xml:space="preserve"> </w:t>
      </w:r>
    </w:p>
    <w:p w14:paraId="1F1F91D5" w14:textId="77777777" w:rsidR="00272573" w:rsidRDefault="00272573" w:rsidP="0063233A">
      <w:pPr>
        <w:jc w:val="both"/>
        <w:rPr>
          <w:rFonts w:ascii="Archivo" w:hAnsi="Archivo" w:cs="Calibri"/>
          <w:sz w:val="20"/>
          <w:szCs w:val="20"/>
        </w:rPr>
      </w:pPr>
    </w:p>
    <w:p w14:paraId="3BBF9ABF" w14:textId="71FA01AF" w:rsidR="00FB0611" w:rsidRPr="00947AC3" w:rsidRDefault="00E3585D" w:rsidP="003465FD">
      <w:pPr>
        <w:jc w:val="both"/>
        <w:rPr>
          <w:rFonts w:ascii="Archivo" w:hAnsi="Archivo" w:cs="Calibri"/>
          <w:i/>
          <w:iCs/>
          <w:sz w:val="20"/>
          <w:szCs w:val="20"/>
        </w:rPr>
      </w:pPr>
      <w:r>
        <w:rPr>
          <w:rFonts w:ascii="Archivo" w:hAnsi="Archivo" w:cs="Calibri"/>
          <w:sz w:val="20"/>
          <w:szCs w:val="20"/>
        </w:rPr>
        <w:t xml:space="preserve">The guidance developed </w:t>
      </w:r>
      <w:r w:rsidR="00840C51">
        <w:rPr>
          <w:rFonts w:ascii="Archivo" w:hAnsi="Archivo" w:cs="Calibri"/>
          <w:sz w:val="20"/>
          <w:szCs w:val="20"/>
        </w:rPr>
        <w:t>in terms of</w:t>
      </w:r>
      <w:r w:rsidR="008736DF">
        <w:rPr>
          <w:rFonts w:ascii="Archivo" w:hAnsi="Archivo" w:cs="Calibri"/>
          <w:sz w:val="20"/>
          <w:szCs w:val="20"/>
        </w:rPr>
        <w:t xml:space="preserve"> Decision</w:t>
      </w:r>
      <w:r w:rsidR="00840C51">
        <w:rPr>
          <w:rFonts w:ascii="Archivo" w:hAnsi="Archivo" w:cs="Calibri"/>
          <w:sz w:val="20"/>
          <w:szCs w:val="20"/>
        </w:rPr>
        <w:t>s</w:t>
      </w:r>
      <w:r w:rsidR="008736DF">
        <w:rPr>
          <w:rFonts w:ascii="Archivo" w:hAnsi="Archivo" w:cs="Calibri"/>
          <w:sz w:val="20"/>
          <w:szCs w:val="20"/>
        </w:rPr>
        <w:t xml:space="preserve"> 19.132 to 19.134 on </w:t>
      </w:r>
      <w:r w:rsidR="008736DF" w:rsidRPr="003465FD">
        <w:rPr>
          <w:rFonts w:ascii="Archivo" w:hAnsi="Archivo" w:cs="Calibri"/>
          <w:i/>
          <w:iCs/>
          <w:sz w:val="20"/>
          <w:szCs w:val="20"/>
        </w:rPr>
        <w:t>Non-detriment findings</w:t>
      </w:r>
      <w:r w:rsidR="008736DF">
        <w:rPr>
          <w:rFonts w:ascii="Archivo" w:hAnsi="Archivo" w:cs="Calibri"/>
          <w:sz w:val="20"/>
          <w:szCs w:val="20"/>
        </w:rPr>
        <w:t xml:space="preserve"> </w:t>
      </w:r>
      <w:r w:rsidR="004B15C6">
        <w:rPr>
          <w:rFonts w:ascii="Archivo" w:hAnsi="Archivo" w:cs="Calibri"/>
          <w:sz w:val="20"/>
          <w:szCs w:val="20"/>
        </w:rPr>
        <w:t xml:space="preserve">will be made available to the CITES Parties </w:t>
      </w:r>
      <w:r w:rsidR="00712B82">
        <w:rPr>
          <w:rFonts w:ascii="Archivo" w:hAnsi="Archivo" w:cs="Calibri"/>
          <w:sz w:val="20"/>
          <w:szCs w:val="20"/>
        </w:rPr>
        <w:t xml:space="preserve">based on the </w:t>
      </w:r>
      <w:r w:rsidR="00840C51">
        <w:rPr>
          <w:rFonts w:ascii="Archivo" w:hAnsi="Archivo" w:cs="Calibri"/>
          <w:sz w:val="20"/>
          <w:szCs w:val="20"/>
        </w:rPr>
        <w:t>recommendations to be made by the Animals and Plants Committees as per Decision 19.133 paragraph c).</w:t>
      </w:r>
      <w:r w:rsidR="004B15C6">
        <w:rPr>
          <w:rFonts w:ascii="Archivo" w:hAnsi="Archivo" w:cs="Calibri"/>
          <w:sz w:val="20"/>
          <w:szCs w:val="20"/>
        </w:rPr>
        <w:t xml:space="preserve"> </w:t>
      </w:r>
      <w:r w:rsidR="008736DF">
        <w:rPr>
          <w:rFonts w:ascii="Archivo" w:hAnsi="Archivo" w:cs="Calibri"/>
          <w:sz w:val="20"/>
          <w:szCs w:val="20"/>
        </w:rPr>
        <w:t xml:space="preserve"> </w:t>
      </w:r>
      <w:r>
        <w:rPr>
          <w:rFonts w:ascii="Archivo" w:hAnsi="Archivo" w:cs="Calibri"/>
          <w:sz w:val="20"/>
          <w:szCs w:val="20"/>
        </w:rPr>
        <w:t xml:space="preserve"> </w:t>
      </w:r>
    </w:p>
    <w:p w14:paraId="0A47D2DF" w14:textId="77777777" w:rsidR="0065108E" w:rsidRPr="00947AC3" w:rsidRDefault="0065108E" w:rsidP="003465FD">
      <w:pPr>
        <w:pStyle w:val="Heading1"/>
        <w:jc w:val="both"/>
        <w:rPr>
          <w:rFonts w:ascii="Archivo" w:hAnsi="Archivo" w:cs="Calibri"/>
          <w:b/>
          <w:bCs/>
          <w:sz w:val="24"/>
          <w:szCs w:val="24"/>
        </w:rPr>
      </w:pPr>
      <w:r w:rsidRPr="00947AC3">
        <w:rPr>
          <w:rFonts w:ascii="Archivo" w:hAnsi="Archivo" w:cs="Calibri"/>
          <w:b/>
          <w:bCs/>
          <w:sz w:val="24"/>
          <w:szCs w:val="24"/>
        </w:rPr>
        <w:lastRenderedPageBreak/>
        <w:t>Structure of this guidance</w:t>
      </w:r>
    </w:p>
    <w:p w14:paraId="1C26998A" w14:textId="77777777" w:rsidR="0065108E" w:rsidRPr="00947AC3" w:rsidRDefault="0065108E" w:rsidP="003465FD">
      <w:pPr>
        <w:jc w:val="both"/>
        <w:rPr>
          <w:rFonts w:ascii="Archivo" w:hAnsi="Archivo"/>
          <w:sz w:val="20"/>
          <w:szCs w:val="20"/>
        </w:rPr>
      </w:pPr>
    </w:p>
    <w:p w14:paraId="0FDCFABC" w14:textId="512DD570" w:rsidR="0065108E" w:rsidRPr="00947AC3" w:rsidRDefault="0065108E" w:rsidP="00621B4E">
      <w:pPr>
        <w:jc w:val="both"/>
        <w:rPr>
          <w:rFonts w:ascii="Archivo" w:hAnsi="Archivo" w:cs="Calibri"/>
          <w:sz w:val="20"/>
          <w:szCs w:val="20"/>
        </w:rPr>
      </w:pPr>
      <w:r w:rsidRPr="00947AC3">
        <w:rPr>
          <w:rFonts w:ascii="Archivo" w:hAnsi="Archivo" w:cs="Calibri"/>
          <w:sz w:val="20"/>
          <w:szCs w:val="20"/>
        </w:rPr>
        <w:t xml:space="preserve">This NDF guidance is comprised of a core section, which provides general guidance on the principles for making NDFs (Module 1) and on practical considerations for making NDFs (Module 2). The core section is accompanied by 9 Modules that provide additional guidance on specific topics to assist the making of NDFs following the core NDF framework. In addition, case studies that illustrate how both simple and more complex NDFs can be made are provided for a range of species in Module </w:t>
      </w:r>
      <w:r w:rsidR="00621B4E" w:rsidRPr="00947AC3">
        <w:rPr>
          <w:rFonts w:ascii="Archivo" w:hAnsi="Archivo" w:cs="Calibri"/>
          <w:sz w:val="20"/>
          <w:szCs w:val="20"/>
        </w:rPr>
        <w:t>1</w:t>
      </w:r>
      <w:r w:rsidR="00621B4E">
        <w:rPr>
          <w:rFonts w:ascii="Archivo" w:hAnsi="Archivo" w:cs="Calibri"/>
          <w:sz w:val="20"/>
          <w:szCs w:val="20"/>
        </w:rPr>
        <w:t>3</w:t>
      </w:r>
      <w:r w:rsidRPr="00947AC3">
        <w:rPr>
          <w:rFonts w:ascii="Archivo" w:hAnsi="Archivo" w:cs="Calibri"/>
          <w:sz w:val="20"/>
          <w:szCs w:val="20"/>
        </w:rPr>
        <w:t xml:space="preserve">. Explanations of the terminology used throughout this document can be found in the </w:t>
      </w:r>
      <w:hyperlink r:id="rId16" w:history="1">
        <w:r w:rsidRPr="00947AC3">
          <w:rPr>
            <w:rStyle w:val="Hyperlink"/>
            <w:rFonts w:ascii="Archivo" w:hAnsi="Archivo" w:cs="Calibri"/>
            <w:sz w:val="20"/>
            <w:szCs w:val="20"/>
          </w:rPr>
          <w:t xml:space="preserve">CITES </w:t>
        </w:r>
        <w:r w:rsidR="00D223AC" w:rsidRPr="00947AC3">
          <w:rPr>
            <w:rStyle w:val="Hyperlink"/>
            <w:rFonts w:ascii="Archivo" w:hAnsi="Archivo" w:cs="Calibri"/>
            <w:sz w:val="20"/>
            <w:szCs w:val="20"/>
          </w:rPr>
          <w:t>G</w:t>
        </w:r>
        <w:r w:rsidRPr="00947AC3">
          <w:rPr>
            <w:rStyle w:val="Hyperlink"/>
            <w:rFonts w:ascii="Archivo" w:hAnsi="Archivo" w:cs="Calibri"/>
            <w:sz w:val="20"/>
            <w:szCs w:val="20"/>
          </w:rPr>
          <w:t>lossary</w:t>
        </w:r>
      </w:hyperlink>
      <w:r w:rsidR="00621B4E">
        <w:rPr>
          <w:rFonts w:ascii="Archivo" w:hAnsi="Archivo" w:cs="Calibri"/>
          <w:sz w:val="20"/>
          <w:szCs w:val="20"/>
        </w:rPr>
        <w:t>, and in the glossary section of the guidance (Module 14).</w:t>
      </w:r>
    </w:p>
    <w:p w14:paraId="2B8BB4BC" w14:textId="77777777" w:rsidR="0065108E" w:rsidRPr="00947AC3" w:rsidRDefault="0065108E" w:rsidP="003465FD">
      <w:pPr>
        <w:jc w:val="both"/>
        <w:rPr>
          <w:rFonts w:ascii="Archivo" w:hAnsi="Archivo"/>
          <w:sz w:val="20"/>
          <w:szCs w:val="20"/>
        </w:rPr>
      </w:pPr>
    </w:p>
    <w:sectPr w:rsidR="0065108E" w:rsidRPr="00947AC3" w:rsidSect="00933964">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8B79" w14:textId="77777777" w:rsidR="00033A6D" w:rsidRDefault="00033A6D" w:rsidP="0065108E">
      <w:r>
        <w:separator/>
      </w:r>
    </w:p>
  </w:endnote>
  <w:endnote w:type="continuationSeparator" w:id="0">
    <w:p w14:paraId="7D6E97C6" w14:textId="77777777" w:rsidR="00033A6D" w:rsidRDefault="00033A6D" w:rsidP="0065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chivo">
    <w:altName w:val="Calibri"/>
    <w:panose1 w:val="00000000000000000000"/>
    <w:charset w:val="00"/>
    <w:family w:val="auto"/>
    <w:pitch w:val="variable"/>
    <w:sig w:usb0="A00000FF" w:usb1="500020EB" w:usb2="00000008" w:usb3="00000000" w:csb0="000001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BBA4D" w14:textId="49FE9EAF" w:rsidR="00947AC3" w:rsidRPr="00306218" w:rsidRDefault="00484604" w:rsidP="00947AC3">
    <w:pPr>
      <w:pStyle w:val="Footer"/>
      <w:ind w:right="360"/>
      <w:jc w:val="center"/>
      <w:rPr>
        <w:rFonts w:ascii="Archivo" w:hAnsi="Archivo"/>
        <w:sz w:val="18"/>
        <w:szCs w:val="18"/>
      </w:rPr>
    </w:pPr>
    <w:r>
      <w:rPr>
        <w:rFonts w:ascii="Archivo" w:hAnsi="Archivo"/>
        <w:sz w:val="18"/>
        <w:szCs w:val="18"/>
      </w:rPr>
      <w:t xml:space="preserve">DRAFT </w:t>
    </w:r>
    <w:r w:rsidR="00947AC3" w:rsidRPr="00306218">
      <w:rPr>
        <w:rFonts w:ascii="Archivo" w:hAnsi="Archivo"/>
        <w:sz w:val="18"/>
        <w:szCs w:val="18"/>
      </w:rPr>
      <w:t>Introduction and preambular text</w:t>
    </w:r>
  </w:p>
  <w:p w14:paraId="32A72086" w14:textId="77777777" w:rsidR="00947AC3" w:rsidRPr="00306218" w:rsidRDefault="00947AC3" w:rsidP="00947AC3">
    <w:pPr>
      <w:pStyle w:val="Footer"/>
      <w:ind w:right="360"/>
      <w:jc w:val="center"/>
      <w:rPr>
        <w:rFonts w:ascii="Archivo" w:hAnsi="Archivo"/>
        <w:sz w:val="18"/>
        <w:szCs w:val="18"/>
      </w:rPr>
    </w:pPr>
    <w:r w:rsidRPr="00306218">
      <w:rPr>
        <w:rStyle w:val="PageNumber"/>
        <w:rFonts w:ascii="Archivo" w:hAnsi="Archivo" w:cs="Arial"/>
        <w:sz w:val="18"/>
        <w:szCs w:val="18"/>
      </w:rPr>
      <w:t xml:space="preserve">– </w:t>
    </w:r>
    <w:r w:rsidRPr="00306218">
      <w:rPr>
        <w:rStyle w:val="PageNumber"/>
        <w:rFonts w:ascii="Archivo" w:hAnsi="Archivo" w:cs="Arial"/>
        <w:sz w:val="18"/>
        <w:szCs w:val="18"/>
      </w:rPr>
      <w:fldChar w:fldCharType="begin"/>
    </w:r>
    <w:r w:rsidRPr="00306218">
      <w:rPr>
        <w:rStyle w:val="PageNumber"/>
        <w:rFonts w:ascii="Archivo" w:hAnsi="Archivo" w:cs="Arial"/>
        <w:sz w:val="18"/>
        <w:szCs w:val="18"/>
      </w:rPr>
      <w:instrText xml:space="preserve"> PAGE </w:instrText>
    </w:r>
    <w:r w:rsidRPr="00306218">
      <w:rPr>
        <w:rStyle w:val="PageNumber"/>
        <w:rFonts w:ascii="Archivo" w:hAnsi="Archivo" w:cs="Arial"/>
        <w:sz w:val="18"/>
        <w:szCs w:val="18"/>
      </w:rPr>
      <w:fldChar w:fldCharType="separate"/>
    </w:r>
    <w:r w:rsidRPr="00306218">
      <w:rPr>
        <w:rStyle w:val="PageNumber"/>
        <w:rFonts w:ascii="Archivo" w:hAnsi="Archivo" w:cs="Arial"/>
        <w:sz w:val="18"/>
        <w:szCs w:val="18"/>
      </w:rPr>
      <w:t>1</w:t>
    </w:r>
    <w:r w:rsidRPr="00306218">
      <w:rPr>
        <w:rStyle w:val="PageNumber"/>
        <w:rFonts w:ascii="Archivo" w:hAnsi="Archivo" w:cs="Arial"/>
        <w:sz w:val="18"/>
        <w:szCs w:val="18"/>
      </w:rPr>
      <w:fldChar w:fldCharType="end"/>
    </w:r>
    <w:r w:rsidRPr="00306218">
      <w:rPr>
        <w:rStyle w:val="PageNumber"/>
        <w:rFonts w:ascii="Archivo" w:hAnsi="Archivo" w:cs="Arial"/>
        <w:sz w:val="18"/>
        <w:szCs w:val="18"/>
      </w:rPr>
      <w:t xml:space="preserve"> –</w:t>
    </w:r>
  </w:p>
  <w:p w14:paraId="138E83D1" w14:textId="77777777" w:rsidR="00947AC3" w:rsidRDefault="00947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9653" w14:textId="77777777" w:rsidR="0007564F" w:rsidRPr="00306218" w:rsidRDefault="0007564F" w:rsidP="0007564F">
    <w:pPr>
      <w:pStyle w:val="Footer"/>
      <w:ind w:right="360"/>
      <w:jc w:val="center"/>
      <w:rPr>
        <w:rFonts w:ascii="Archivo" w:hAnsi="Archivo"/>
        <w:sz w:val="18"/>
        <w:szCs w:val="18"/>
      </w:rPr>
    </w:pPr>
    <w:r>
      <w:rPr>
        <w:rFonts w:ascii="Archivo" w:hAnsi="Archivo"/>
        <w:sz w:val="18"/>
        <w:szCs w:val="18"/>
      </w:rPr>
      <w:t xml:space="preserve">DRAFT </w:t>
    </w:r>
    <w:r w:rsidRPr="00306218">
      <w:rPr>
        <w:rFonts w:ascii="Archivo" w:hAnsi="Archivo"/>
        <w:sz w:val="18"/>
        <w:szCs w:val="18"/>
      </w:rPr>
      <w:t>Introduction and preambular text</w:t>
    </w:r>
  </w:p>
  <w:p w14:paraId="01B4A5E7" w14:textId="77777777" w:rsidR="0007564F" w:rsidRPr="00306218" w:rsidRDefault="0007564F" w:rsidP="0007564F">
    <w:pPr>
      <w:pStyle w:val="Footer"/>
      <w:ind w:right="360"/>
      <w:jc w:val="center"/>
      <w:rPr>
        <w:rFonts w:ascii="Archivo" w:hAnsi="Archivo"/>
        <w:sz w:val="18"/>
        <w:szCs w:val="18"/>
      </w:rPr>
    </w:pPr>
    <w:r w:rsidRPr="00306218">
      <w:rPr>
        <w:rStyle w:val="PageNumber"/>
        <w:rFonts w:ascii="Archivo" w:hAnsi="Archivo" w:cs="Arial"/>
        <w:sz w:val="18"/>
        <w:szCs w:val="18"/>
      </w:rPr>
      <w:t xml:space="preserve">– </w:t>
    </w:r>
    <w:r w:rsidRPr="00306218">
      <w:rPr>
        <w:rStyle w:val="PageNumber"/>
        <w:rFonts w:ascii="Archivo" w:hAnsi="Archivo" w:cs="Arial"/>
        <w:sz w:val="18"/>
        <w:szCs w:val="18"/>
      </w:rPr>
      <w:fldChar w:fldCharType="begin"/>
    </w:r>
    <w:r w:rsidRPr="00306218">
      <w:rPr>
        <w:rStyle w:val="PageNumber"/>
        <w:rFonts w:ascii="Archivo" w:hAnsi="Archivo" w:cs="Arial"/>
        <w:sz w:val="18"/>
        <w:szCs w:val="18"/>
      </w:rPr>
      <w:instrText xml:space="preserve"> PAGE </w:instrText>
    </w:r>
    <w:r w:rsidRPr="00306218">
      <w:rPr>
        <w:rStyle w:val="PageNumber"/>
        <w:rFonts w:ascii="Archivo" w:hAnsi="Archivo" w:cs="Arial"/>
        <w:sz w:val="18"/>
        <w:szCs w:val="18"/>
      </w:rPr>
      <w:fldChar w:fldCharType="separate"/>
    </w:r>
    <w:r>
      <w:rPr>
        <w:rStyle w:val="PageNumber"/>
        <w:rFonts w:ascii="Archivo" w:hAnsi="Archivo" w:cs="Arial"/>
        <w:sz w:val="18"/>
        <w:szCs w:val="18"/>
      </w:rPr>
      <w:t>2</w:t>
    </w:r>
    <w:r w:rsidRPr="00306218">
      <w:rPr>
        <w:rStyle w:val="PageNumber"/>
        <w:rFonts w:ascii="Archivo" w:hAnsi="Archivo" w:cs="Arial"/>
        <w:sz w:val="18"/>
        <w:szCs w:val="18"/>
      </w:rPr>
      <w:fldChar w:fldCharType="end"/>
    </w:r>
    <w:r w:rsidRPr="00306218">
      <w:rPr>
        <w:rStyle w:val="PageNumber"/>
        <w:rFonts w:ascii="Archivo" w:hAnsi="Archivo" w:cs="Arial"/>
        <w:sz w:val="18"/>
        <w:szCs w:val="18"/>
      </w:rPr>
      <w:t xml:space="preserve"> –</w:t>
    </w:r>
  </w:p>
  <w:p w14:paraId="28DFCBAE" w14:textId="77777777" w:rsidR="0007564F" w:rsidRDefault="00075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77835" w14:textId="77777777" w:rsidR="00033A6D" w:rsidRDefault="00033A6D" w:rsidP="0065108E">
      <w:r>
        <w:separator/>
      </w:r>
    </w:p>
  </w:footnote>
  <w:footnote w:type="continuationSeparator" w:id="0">
    <w:p w14:paraId="338B2122" w14:textId="77777777" w:rsidR="00033A6D" w:rsidRDefault="00033A6D" w:rsidP="00651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E309" w14:textId="77777777" w:rsidR="00933964" w:rsidRDefault="00933964" w:rsidP="00933964">
    <w:pPr>
      <w:spacing w:before="240" w:after="720"/>
      <w:jc w:val="center"/>
      <w:rPr>
        <w:rFonts w:ascii="Archivo" w:hAnsi="Archivo"/>
        <w:noProof/>
      </w:rPr>
    </w:pPr>
    <w:r w:rsidRPr="00764747">
      <w:rPr>
        <w:rFonts w:ascii="Archivo" w:hAnsi="Archivo"/>
        <w:noProof/>
      </w:rPr>
      <w:drawing>
        <wp:anchor distT="0" distB="0" distL="114300" distR="114300" simplePos="0" relativeHeight="251662336" behindDoc="1" locked="0" layoutInCell="1" allowOverlap="1" wp14:anchorId="1C28C7F9" wp14:editId="638C5599">
          <wp:simplePos x="0" y="0"/>
          <wp:positionH relativeFrom="column">
            <wp:posOffset>2500953</wp:posOffset>
          </wp:positionH>
          <wp:positionV relativeFrom="paragraph">
            <wp:posOffset>93980</wp:posOffset>
          </wp:positionV>
          <wp:extent cx="899160" cy="840105"/>
          <wp:effectExtent l="0" t="0" r="2540" b="0"/>
          <wp:wrapTight wrapText="bothSides">
            <wp:wrapPolygon edited="0">
              <wp:start x="4576" y="2939"/>
              <wp:lineTo x="3051" y="4898"/>
              <wp:lineTo x="1831" y="7184"/>
              <wp:lineTo x="1831" y="8816"/>
              <wp:lineTo x="0" y="10122"/>
              <wp:lineTo x="0" y="12082"/>
              <wp:lineTo x="8237" y="14041"/>
              <wp:lineTo x="7017" y="14367"/>
              <wp:lineTo x="6407" y="15020"/>
              <wp:lineTo x="6407" y="16000"/>
              <wp:lineTo x="8237" y="16000"/>
              <wp:lineTo x="16780" y="15347"/>
              <wp:lineTo x="19525" y="15020"/>
              <wp:lineTo x="21051" y="13388"/>
              <wp:lineTo x="21356" y="11102"/>
              <wp:lineTo x="21356" y="7184"/>
              <wp:lineTo x="20136" y="5224"/>
              <wp:lineTo x="8847" y="2939"/>
              <wp:lineTo x="4576" y="2939"/>
            </wp:wrapPolygon>
          </wp:wrapTight>
          <wp:docPr id="2" name="Picture 2"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9160" cy="840105"/>
                  </a:xfrm>
                  <a:prstGeom prst="rect">
                    <a:avLst/>
                  </a:prstGeom>
                </pic:spPr>
              </pic:pic>
            </a:graphicData>
          </a:graphic>
          <wp14:sizeRelH relativeFrom="page">
            <wp14:pctWidth>0</wp14:pctWidth>
          </wp14:sizeRelH>
          <wp14:sizeRelV relativeFrom="page">
            <wp14:pctHeight>0</wp14:pctHeight>
          </wp14:sizeRelV>
        </wp:anchor>
      </w:drawing>
    </w:r>
  </w:p>
  <w:p w14:paraId="5CBEBB6A" w14:textId="77777777" w:rsidR="00933964" w:rsidRPr="00764747" w:rsidRDefault="00933964" w:rsidP="00933964">
    <w:pPr>
      <w:spacing w:before="240"/>
      <w:jc w:val="center"/>
      <w:rPr>
        <w:rFonts w:ascii="Archivo" w:hAnsi="Archivo" w:cs="Arial"/>
      </w:rPr>
    </w:pPr>
    <w:r>
      <w:rPr>
        <w:rFonts w:ascii="Archivo" w:hAnsi="Archivo"/>
        <w:noProof/>
      </w:rPr>
      <w:t xml:space="preserve">DRAFT </w:t>
    </w:r>
    <w:r w:rsidRPr="00764747">
      <w:rPr>
        <w:rFonts w:ascii="Archivo" w:hAnsi="Archivo" w:cs="Arial"/>
      </w:rPr>
      <w:t xml:space="preserve">GUIDANCE: NON-DETRIMENT FINDINGS </w:t>
    </w:r>
  </w:p>
  <w:p w14:paraId="5BBECD0D" w14:textId="77777777" w:rsidR="00933964" w:rsidRDefault="00933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08E"/>
    <w:rsid w:val="00033A6D"/>
    <w:rsid w:val="0007564F"/>
    <w:rsid w:val="000D7F7D"/>
    <w:rsid w:val="00146FD4"/>
    <w:rsid w:val="001C515A"/>
    <w:rsid w:val="00221325"/>
    <w:rsid w:val="00272573"/>
    <w:rsid w:val="002B68C8"/>
    <w:rsid w:val="002B6ADA"/>
    <w:rsid w:val="00306218"/>
    <w:rsid w:val="003465FD"/>
    <w:rsid w:val="00387095"/>
    <w:rsid w:val="00423691"/>
    <w:rsid w:val="00484604"/>
    <w:rsid w:val="004A38F1"/>
    <w:rsid w:val="004B15C6"/>
    <w:rsid w:val="004E11DB"/>
    <w:rsid w:val="00582007"/>
    <w:rsid w:val="005B40CE"/>
    <w:rsid w:val="00621B4E"/>
    <w:rsid w:val="0063233A"/>
    <w:rsid w:val="0065108E"/>
    <w:rsid w:val="006B25A5"/>
    <w:rsid w:val="00700BB4"/>
    <w:rsid w:val="00712B82"/>
    <w:rsid w:val="00840C51"/>
    <w:rsid w:val="008736DF"/>
    <w:rsid w:val="0089694E"/>
    <w:rsid w:val="008D00DB"/>
    <w:rsid w:val="009325BB"/>
    <w:rsid w:val="00933964"/>
    <w:rsid w:val="00947AC3"/>
    <w:rsid w:val="00980FCA"/>
    <w:rsid w:val="00A05D77"/>
    <w:rsid w:val="00A33DDB"/>
    <w:rsid w:val="00A4267E"/>
    <w:rsid w:val="00A77DC7"/>
    <w:rsid w:val="00B4664D"/>
    <w:rsid w:val="00C01297"/>
    <w:rsid w:val="00C56740"/>
    <w:rsid w:val="00D223AC"/>
    <w:rsid w:val="00D558FD"/>
    <w:rsid w:val="00DE6CF3"/>
    <w:rsid w:val="00E32C31"/>
    <w:rsid w:val="00E3585D"/>
    <w:rsid w:val="00E74588"/>
    <w:rsid w:val="00EB3060"/>
    <w:rsid w:val="00ED599D"/>
    <w:rsid w:val="00EF74EE"/>
    <w:rsid w:val="00F11A47"/>
    <w:rsid w:val="00FB0611"/>
    <w:rsid w:val="00FC725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39F68"/>
  <w15:chartTrackingRefBased/>
  <w15:docId w15:val="{3E8161BB-9A63-884E-AD19-FFB6C339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CEC Head 1,CEC Head 1"/>
    <w:basedOn w:val="Normal"/>
    <w:next w:val="Normal"/>
    <w:link w:val="Heading1Char"/>
    <w:uiPriority w:val="9"/>
    <w:qFormat/>
    <w:rsid w:val="0065108E"/>
    <w:pPr>
      <w:keepNext/>
      <w:keepLines/>
      <w:spacing w:before="240" w:line="259" w:lineRule="auto"/>
      <w:outlineLvl w:val="0"/>
    </w:pPr>
    <w:rPr>
      <w:rFonts w:asciiTheme="majorHAnsi" w:eastAsiaTheme="majorEastAsia" w:hAnsiTheme="majorHAnsi" w:cstheme="majorBidi"/>
      <w:color w:val="2F5496" w:themeColor="accent1" w:themeShade="BF"/>
      <w:kern w:val="2"/>
      <w:sz w:val="32"/>
      <w:szCs w:val="3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EC Head 1 Char,CEC Head 1 Char"/>
    <w:basedOn w:val="DefaultParagraphFont"/>
    <w:link w:val="Heading1"/>
    <w:uiPriority w:val="9"/>
    <w:rsid w:val="0065108E"/>
    <w:rPr>
      <w:rFonts w:asciiTheme="majorHAnsi" w:eastAsiaTheme="majorEastAsia" w:hAnsiTheme="majorHAnsi" w:cstheme="majorBidi"/>
      <w:color w:val="2F5496" w:themeColor="accent1" w:themeShade="BF"/>
      <w:kern w:val="2"/>
      <w:sz w:val="32"/>
      <w:szCs w:val="32"/>
      <w:lang w:val="en-GB"/>
      <w14:ligatures w14:val="standardContextual"/>
    </w:rPr>
  </w:style>
  <w:style w:type="character" w:styleId="Hyperlink">
    <w:name w:val="Hyperlink"/>
    <w:basedOn w:val="DefaultParagraphFont"/>
    <w:uiPriority w:val="99"/>
    <w:unhideWhenUsed/>
    <w:rsid w:val="0065108E"/>
    <w:rPr>
      <w:color w:val="0000FF"/>
      <w:u w:val="single"/>
    </w:rPr>
  </w:style>
  <w:style w:type="paragraph" w:styleId="FootnoteText">
    <w:name w:val="footnote text"/>
    <w:aliases w:val="ECEC,CEC"/>
    <w:basedOn w:val="Normal"/>
    <w:link w:val="FootnoteTextChar"/>
    <w:uiPriority w:val="99"/>
    <w:unhideWhenUsed/>
    <w:qFormat/>
    <w:rsid w:val="0065108E"/>
    <w:rPr>
      <w:kern w:val="2"/>
      <w:sz w:val="20"/>
      <w:szCs w:val="20"/>
      <w:lang w:val="en-GB"/>
      <w14:ligatures w14:val="standardContextual"/>
    </w:rPr>
  </w:style>
  <w:style w:type="character" w:customStyle="1" w:styleId="FootnoteTextChar">
    <w:name w:val="Footnote Text Char"/>
    <w:aliases w:val="ECEC Char,CEC Char"/>
    <w:basedOn w:val="DefaultParagraphFont"/>
    <w:link w:val="FootnoteText"/>
    <w:uiPriority w:val="99"/>
    <w:rsid w:val="0065108E"/>
    <w:rPr>
      <w:kern w:val="2"/>
      <w:sz w:val="20"/>
      <w:szCs w:val="20"/>
      <w:lang w:val="en-GB"/>
      <w14:ligatures w14:val="standardContextual"/>
    </w:rPr>
  </w:style>
  <w:style w:type="character" w:styleId="FootnoteReference">
    <w:name w:val="footnote reference"/>
    <w:aliases w:val="ECEC Footnote Reference,CEC Footnote Reference"/>
    <w:basedOn w:val="DefaultParagraphFont"/>
    <w:uiPriority w:val="99"/>
    <w:unhideWhenUsed/>
    <w:qFormat/>
    <w:rsid w:val="0065108E"/>
    <w:rPr>
      <w:vertAlign w:val="superscript"/>
    </w:rPr>
  </w:style>
  <w:style w:type="character" w:styleId="CommentReference">
    <w:name w:val="annotation reference"/>
    <w:basedOn w:val="DefaultParagraphFont"/>
    <w:uiPriority w:val="99"/>
    <w:unhideWhenUsed/>
    <w:qFormat/>
    <w:rsid w:val="0065108E"/>
    <w:rPr>
      <w:sz w:val="16"/>
      <w:szCs w:val="16"/>
    </w:rPr>
  </w:style>
  <w:style w:type="paragraph" w:styleId="CommentText">
    <w:name w:val="annotation text"/>
    <w:basedOn w:val="Normal"/>
    <w:link w:val="CommentTextChar"/>
    <w:uiPriority w:val="99"/>
    <w:unhideWhenUsed/>
    <w:qFormat/>
    <w:rsid w:val="0065108E"/>
    <w:pPr>
      <w:spacing w:after="160"/>
    </w:pPr>
    <w:rPr>
      <w:kern w:val="2"/>
      <w:sz w:val="20"/>
      <w:szCs w:val="20"/>
      <w:lang w:val="en-GB"/>
      <w14:ligatures w14:val="standardContextual"/>
    </w:rPr>
  </w:style>
  <w:style w:type="character" w:customStyle="1" w:styleId="CommentTextChar">
    <w:name w:val="Comment Text Char"/>
    <w:basedOn w:val="DefaultParagraphFont"/>
    <w:link w:val="CommentText"/>
    <w:uiPriority w:val="99"/>
    <w:qFormat/>
    <w:rsid w:val="0065108E"/>
    <w:rPr>
      <w:kern w:val="2"/>
      <w:sz w:val="20"/>
      <w:szCs w:val="20"/>
      <w:lang w:val="en-GB"/>
      <w14:ligatures w14:val="standardContextual"/>
    </w:rPr>
  </w:style>
  <w:style w:type="character" w:styleId="UnresolvedMention">
    <w:name w:val="Unresolved Mention"/>
    <w:basedOn w:val="DefaultParagraphFont"/>
    <w:uiPriority w:val="99"/>
    <w:semiHidden/>
    <w:unhideWhenUsed/>
    <w:rsid w:val="00EB3060"/>
    <w:rPr>
      <w:color w:val="605E5C"/>
      <w:shd w:val="clear" w:color="auto" w:fill="E1DFDD"/>
    </w:rPr>
  </w:style>
  <w:style w:type="paragraph" w:styleId="Header">
    <w:name w:val="header"/>
    <w:basedOn w:val="Normal"/>
    <w:link w:val="HeaderChar"/>
    <w:uiPriority w:val="99"/>
    <w:unhideWhenUsed/>
    <w:rsid w:val="00E74588"/>
    <w:pPr>
      <w:tabs>
        <w:tab w:val="center" w:pos="4513"/>
        <w:tab w:val="right" w:pos="9026"/>
      </w:tabs>
    </w:pPr>
  </w:style>
  <w:style w:type="character" w:customStyle="1" w:styleId="HeaderChar">
    <w:name w:val="Header Char"/>
    <w:basedOn w:val="DefaultParagraphFont"/>
    <w:link w:val="Header"/>
    <w:uiPriority w:val="99"/>
    <w:rsid w:val="00E74588"/>
  </w:style>
  <w:style w:type="paragraph" w:styleId="Footer">
    <w:name w:val="footer"/>
    <w:aliases w:val="CEC footer"/>
    <w:basedOn w:val="Normal"/>
    <w:link w:val="FooterChar"/>
    <w:uiPriority w:val="99"/>
    <w:unhideWhenUsed/>
    <w:rsid w:val="00E74588"/>
    <w:pPr>
      <w:tabs>
        <w:tab w:val="center" w:pos="4513"/>
        <w:tab w:val="right" w:pos="9026"/>
      </w:tabs>
    </w:pPr>
  </w:style>
  <w:style w:type="character" w:customStyle="1" w:styleId="FooterChar">
    <w:name w:val="Footer Char"/>
    <w:aliases w:val="CEC footer Char"/>
    <w:basedOn w:val="DefaultParagraphFont"/>
    <w:link w:val="Footer"/>
    <w:uiPriority w:val="99"/>
    <w:rsid w:val="00E74588"/>
  </w:style>
  <w:style w:type="character" w:styleId="PageNumber">
    <w:name w:val="page number"/>
    <w:aliases w:val="CEC Footer-Page Number"/>
    <w:basedOn w:val="DefaultParagraphFont"/>
    <w:qFormat/>
    <w:rsid w:val="00947AC3"/>
    <w:rPr>
      <w:i w:val="0"/>
      <w:kern w:val="2"/>
      <w:sz w:val="20"/>
      <w:szCs w:val="22"/>
      <w:lang w:val="en-GB"/>
      <w14:ligatures w14:val="standardContextual"/>
    </w:rPr>
  </w:style>
  <w:style w:type="paragraph" w:styleId="Revision">
    <w:name w:val="Revision"/>
    <w:hidden/>
    <w:uiPriority w:val="99"/>
    <w:semiHidden/>
    <w:rsid w:val="0063233A"/>
  </w:style>
  <w:style w:type="paragraph" w:styleId="CommentSubject">
    <w:name w:val="annotation subject"/>
    <w:basedOn w:val="CommentText"/>
    <w:next w:val="CommentText"/>
    <w:link w:val="CommentSubjectChar"/>
    <w:uiPriority w:val="99"/>
    <w:semiHidden/>
    <w:unhideWhenUsed/>
    <w:rsid w:val="00700BB4"/>
    <w:pPr>
      <w:spacing w:after="0"/>
    </w:pPr>
    <w:rPr>
      <w:b/>
      <w:bCs/>
      <w:kern w:val="0"/>
      <w:lang w:val="en-AU"/>
      <w14:ligatures w14:val="none"/>
    </w:rPr>
  </w:style>
  <w:style w:type="character" w:customStyle="1" w:styleId="CommentSubjectChar">
    <w:name w:val="Comment Subject Char"/>
    <w:basedOn w:val="CommentTextChar"/>
    <w:link w:val="CommentSubject"/>
    <w:uiPriority w:val="99"/>
    <w:semiHidden/>
    <w:rsid w:val="00700BB4"/>
    <w:rPr>
      <w:b/>
      <w:bCs/>
      <w:kern w:val="2"/>
      <w:sz w:val="20"/>
      <w:szCs w:val="20"/>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s.org/eng/disc/text.php" TargetMode="External"/><Relationship Id="rId13" Type="http://schemas.openxmlformats.org/officeDocument/2006/relationships/hyperlink" Target="https://cites.org/sites/default/files/documents/COP/19/resolution/E-Res-18-07-R19.pdf"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cites.org/eng/disc/text.php" TargetMode="External"/><Relationship Id="rId12" Type="http://schemas.openxmlformats.org/officeDocument/2006/relationships/hyperlink" Target="https://cites.org/eng/resources/terms/glossary.php"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cites.org/eng/resources/terms/glossary.ph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ites.org/eng/disc/text.php" TargetMode="External"/><Relationship Id="rId11" Type="http://schemas.openxmlformats.org/officeDocument/2006/relationships/hyperlink" Target="https://cites.org/sites/default/files/documents/COP/19/resolution/E-Res-10-03.pdf" TargetMode="External"/><Relationship Id="rId5" Type="http://schemas.openxmlformats.org/officeDocument/2006/relationships/endnotes" Target="endnotes.xml"/><Relationship Id="rId15" Type="http://schemas.openxmlformats.org/officeDocument/2006/relationships/hyperlink" Target="https://cites.org/eng/node/129711" TargetMode="External"/><Relationship Id="rId10" Type="http://schemas.openxmlformats.org/officeDocument/2006/relationships/hyperlink" Target="https://cites.org/sites/default/files/documents/COP/19/resolution/E-Res-16-07-R17.pdf"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cites.org/eng/disc/text.php" TargetMode="External"/><Relationship Id="rId14" Type="http://schemas.openxmlformats.org/officeDocument/2006/relationships/hyperlink" Target="https://cites.org/eng/virtual-college/n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793</Words>
  <Characters>4365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natusch</dc:creator>
  <cp:keywords/>
  <dc:description/>
  <cp:lastModifiedBy>Thea Henriette Carroll</cp:lastModifiedBy>
  <cp:revision>2</cp:revision>
  <dcterms:created xsi:type="dcterms:W3CDTF">2023-10-12T06:34:00Z</dcterms:created>
  <dcterms:modified xsi:type="dcterms:W3CDTF">2023-10-12T06:34:00Z</dcterms:modified>
</cp:coreProperties>
</file>