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D7" w:rsidRPr="001E3F7E" w:rsidRDefault="001E3F7E" w:rsidP="001D1E35">
      <w:pPr>
        <w:pStyle w:val="No"/>
        <w:widowControl/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1E3F7E">
        <w:t>Original language</w:t>
      </w:r>
      <w:r w:rsidRPr="00CE4DAB">
        <w:t xml:space="preserve">: </w:t>
      </w:r>
      <w:r w:rsidRPr="00CE4DAB">
        <w:rPr>
          <w:rFonts w:cs="Arial"/>
        </w:rPr>
        <w:t>English</w:t>
      </w:r>
      <w:r>
        <w:tab/>
      </w:r>
      <w:bookmarkStart w:id="0" w:name="_GoBack"/>
      <w:bookmarkEnd w:id="0"/>
      <w:r w:rsidR="002406C2">
        <w:t xml:space="preserve"> </w:t>
      </w:r>
    </w:p>
    <w:p w:rsidR="000E79D7" w:rsidRDefault="00930030">
      <w:pPr>
        <w:pStyle w:val="Title-end"/>
        <w:tabs>
          <w:tab w:val="left" w:pos="4820"/>
        </w:tabs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3432810</wp:posOffset>
            </wp:positionH>
            <wp:positionV relativeFrom="page">
              <wp:posOffset>1640840</wp:posOffset>
            </wp:positionV>
            <wp:extent cx="685800" cy="4165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D7">
        <w:t>CONVENTION ON INTERNATIONAL TRADE IN ENDANGERED SPECIES</w:t>
      </w:r>
      <w:r w:rsidR="000E79D7">
        <w:br/>
        <w:t>OF WILD FAUNA AND FLORA</w:t>
      </w:r>
      <w:r w:rsidR="000E79D7">
        <w:br/>
        <w:t>____________________</w:t>
      </w:r>
    </w:p>
    <w:p w:rsidR="000E79D7" w:rsidRDefault="000E79D7" w:rsidP="00C31E13">
      <w:pPr>
        <w:jc w:val="center"/>
      </w:pPr>
      <w:r>
        <w:br/>
      </w:r>
      <w:r>
        <w:br/>
      </w:r>
    </w:p>
    <w:p w:rsidR="000E79D7" w:rsidRDefault="009229D9" w:rsidP="001D1E35">
      <w:pPr>
        <w:spacing w:after="480"/>
        <w:jc w:val="center"/>
      </w:pPr>
      <w:r>
        <w:t>Sixty-</w:t>
      </w:r>
      <w:r w:rsidR="001D1E35">
        <w:t>ninth</w:t>
      </w:r>
      <w:r>
        <w:t xml:space="preserve"> meeting of the Standing Committee</w:t>
      </w:r>
      <w:r>
        <w:br/>
      </w:r>
      <w:r w:rsidR="00ED7A2B">
        <w:t>Geneva</w:t>
      </w:r>
      <w:r w:rsidR="003C1871">
        <w:t xml:space="preserve"> (</w:t>
      </w:r>
      <w:r w:rsidR="00ED7A2B">
        <w:t>Switzerland</w:t>
      </w:r>
      <w:r w:rsidR="003C1871">
        <w:t xml:space="preserve">), </w:t>
      </w:r>
      <w:r w:rsidR="001D1E35">
        <w:t xml:space="preserve">27 November </w:t>
      </w:r>
      <w:r w:rsidR="00ED7A2B">
        <w:t>-</w:t>
      </w:r>
      <w:r w:rsidR="00C61579">
        <w:t xml:space="preserve"> </w:t>
      </w:r>
      <w:r w:rsidR="00ED7A2B">
        <w:t>1</w:t>
      </w:r>
      <w:r w:rsidR="001D1E35">
        <w:t xml:space="preserve"> December </w:t>
      </w:r>
      <w:r w:rsidR="00ED7A2B">
        <w:t>201</w:t>
      </w:r>
      <w:r w:rsidR="001D1E35">
        <w:t>7</w:t>
      </w:r>
    </w:p>
    <w:p w:rsidR="002406C2" w:rsidRDefault="00244BA3" w:rsidP="00632368">
      <w:pPr>
        <w:pStyle w:val="Title-start"/>
      </w:pPr>
      <w:r>
        <w:t>Minutes of the m</w:t>
      </w:r>
      <w:r w:rsidR="002406C2">
        <w:t xml:space="preserve">eeting of the CITES Working Group on </w:t>
      </w:r>
      <w:r w:rsidR="00632368">
        <w:t>Traceability</w:t>
      </w:r>
    </w:p>
    <w:p w:rsidR="00B81FFB" w:rsidRDefault="002406C2" w:rsidP="00DC27DF">
      <w:pPr>
        <w:pStyle w:val="hg1"/>
        <w:ind w:left="0" w:firstLine="0"/>
      </w:pPr>
      <w:r>
        <w:t xml:space="preserve">1. </w:t>
      </w:r>
      <w:r w:rsidR="000E79D7">
        <w:t xml:space="preserve">This document has been prepared by the </w:t>
      </w:r>
      <w:r>
        <w:t>Chair</w:t>
      </w:r>
      <w:r w:rsidR="00FC6C94">
        <w:t>s</w:t>
      </w:r>
      <w:r>
        <w:t xml:space="preserve"> of the Working Group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3426"/>
        <w:gridCol w:w="5806"/>
      </w:tblGrid>
      <w:tr w:rsidR="00D733D2" w:rsidTr="005C45AF">
        <w:tc>
          <w:tcPr>
            <w:tcW w:w="3426" w:type="dxa"/>
            <w:shd w:val="clear" w:color="auto" w:fill="F2F2F2" w:themeFill="background1" w:themeFillShade="F2"/>
          </w:tcPr>
          <w:p w:rsidR="00D733D2" w:rsidRDefault="00AA590E" w:rsidP="002A4C6E">
            <w:pPr>
              <w:pStyle w:val="hg1"/>
              <w:ind w:left="0" w:firstLine="0"/>
            </w:pPr>
            <w:r>
              <w:t>Agenda</w:t>
            </w:r>
            <w:r w:rsidR="009203E8">
              <w:t xml:space="preserve"> </w:t>
            </w:r>
            <w:r>
              <w:t>i</w:t>
            </w:r>
            <w:r w:rsidR="00D733D2">
              <w:t>tem</w:t>
            </w:r>
          </w:p>
        </w:tc>
        <w:tc>
          <w:tcPr>
            <w:tcW w:w="5806" w:type="dxa"/>
            <w:shd w:val="clear" w:color="auto" w:fill="F2F2F2" w:themeFill="background1" w:themeFillShade="F2"/>
          </w:tcPr>
          <w:p w:rsidR="00D733D2" w:rsidRDefault="005C45AF" w:rsidP="002A4C6E">
            <w:pPr>
              <w:pStyle w:val="hg1"/>
              <w:ind w:left="0" w:firstLine="0"/>
            </w:pPr>
            <w:r>
              <w:t>Minutes</w:t>
            </w:r>
          </w:p>
        </w:tc>
      </w:tr>
      <w:tr w:rsidR="00D733D2" w:rsidTr="005C45AF">
        <w:tc>
          <w:tcPr>
            <w:tcW w:w="3426" w:type="dxa"/>
          </w:tcPr>
          <w:p w:rsidR="00D733D2" w:rsidRDefault="00D733D2" w:rsidP="00AA590E">
            <w:pPr>
              <w:pStyle w:val="hg1"/>
              <w:numPr>
                <w:ilvl w:val="0"/>
                <w:numId w:val="8"/>
              </w:numPr>
            </w:pPr>
            <w:r>
              <w:t>Welcome by the Chair</w:t>
            </w:r>
            <w:r w:rsidR="00632368">
              <w:t>s</w:t>
            </w:r>
            <w:r>
              <w:t xml:space="preserve"> </w:t>
            </w:r>
          </w:p>
        </w:tc>
        <w:tc>
          <w:tcPr>
            <w:tcW w:w="5806" w:type="dxa"/>
          </w:tcPr>
          <w:p w:rsidR="00B15D75" w:rsidRPr="00B15D75" w:rsidRDefault="00B15D75" w:rsidP="00194FEF">
            <w:pPr>
              <w:pStyle w:val="hg1"/>
              <w:ind w:left="0" w:firstLine="0"/>
            </w:pPr>
            <w:r>
              <w:t>Hesiquio</w:t>
            </w:r>
            <w:r w:rsidRPr="00B15D75">
              <w:t xml:space="preserve"> Benitez</w:t>
            </w:r>
            <w:r>
              <w:t>-Diaz</w:t>
            </w:r>
            <w:r w:rsidRPr="00B15D75">
              <w:t xml:space="preserve"> (Mexico</w:t>
            </w:r>
            <w:r w:rsidR="006B7AE4" w:rsidRPr="00B15D75">
              <w:t>) and</w:t>
            </w:r>
            <w:r w:rsidRPr="00B15D75">
              <w:t xml:space="preserve"> Mathias Loertscher (Switzerland) as co-chairs of the working group welcomed the participants.</w:t>
            </w:r>
            <w:r>
              <w:t xml:space="preserve"> </w:t>
            </w:r>
            <w:r w:rsidRPr="00B15D75">
              <w:t xml:space="preserve"> </w:t>
            </w:r>
          </w:p>
          <w:p w:rsidR="00D733D2" w:rsidRDefault="00194FEF" w:rsidP="00194FEF">
            <w:pPr>
              <w:pStyle w:val="hg1"/>
              <w:ind w:left="0" w:firstLine="0"/>
            </w:pPr>
            <w:r>
              <w:t xml:space="preserve">The membership of the intersessional working group on traceability is as follows: Mexico and Switzerland (co-Chairs), </w:t>
            </w:r>
            <w:r w:rsidR="00B45663">
              <w:t xml:space="preserve">Australia, </w:t>
            </w:r>
            <w:r>
              <w:t>Brazil, Canada, China, Colombia, Japan, Malaysia, Russian Federation, South Africa, United Arab Emirates, United States of America and Viet Nam; and Americas Fur Resources Council, Environmental Investigation Agency, GS1 Switzerland, Humane Society International, International Union for Conservation of Nature, International Wood Products Association, Lewis &amp; Clark – International Environmental Law Project, MEA Strategies, TRAFFIC, United Nations Conference on Trade and Development, United Nations Economic Commission for Europe, United Nations Environment Programme, and World Wildlife Fund.</w:t>
            </w:r>
          </w:p>
        </w:tc>
      </w:tr>
      <w:tr w:rsidR="00D733D2" w:rsidTr="005C45AF">
        <w:tc>
          <w:tcPr>
            <w:tcW w:w="3426" w:type="dxa"/>
          </w:tcPr>
          <w:p w:rsidR="00D733D2" w:rsidRDefault="00667BBD" w:rsidP="00AA590E">
            <w:pPr>
              <w:pStyle w:val="hg1"/>
              <w:numPr>
                <w:ilvl w:val="0"/>
                <w:numId w:val="8"/>
              </w:numPr>
            </w:pPr>
            <w:r>
              <w:t xml:space="preserve">Adoption of the </w:t>
            </w:r>
            <w:r w:rsidR="00D733D2">
              <w:t xml:space="preserve">agenda </w:t>
            </w:r>
          </w:p>
        </w:tc>
        <w:tc>
          <w:tcPr>
            <w:tcW w:w="5806" w:type="dxa"/>
          </w:tcPr>
          <w:p w:rsidR="00D733D2" w:rsidRDefault="00B15D75" w:rsidP="002A4C6E">
            <w:pPr>
              <w:pStyle w:val="hg1"/>
              <w:ind w:left="0" w:firstLine="0"/>
            </w:pPr>
            <w:r>
              <w:t>The agenda was ado</w:t>
            </w:r>
            <w:r w:rsidR="00B45663">
              <w:t>pted</w:t>
            </w:r>
          </w:p>
        </w:tc>
      </w:tr>
      <w:tr w:rsidR="00D733D2" w:rsidTr="005C45AF">
        <w:tc>
          <w:tcPr>
            <w:tcW w:w="3426" w:type="dxa"/>
          </w:tcPr>
          <w:p w:rsidR="00667BBD" w:rsidRPr="00667BBD" w:rsidRDefault="00F95DD3" w:rsidP="002132CC">
            <w:pPr>
              <w:pStyle w:val="hg1"/>
              <w:numPr>
                <w:ilvl w:val="0"/>
                <w:numId w:val="8"/>
              </w:numPr>
            </w:pPr>
            <w:r>
              <w:t>W</w:t>
            </w:r>
            <w:r w:rsidR="00D733D2">
              <w:t xml:space="preserve">ork programme of the </w:t>
            </w:r>
            <w:r w:rsidR="00E25912">
              <w:t>Working G</w:t>
            </w:r>
            <w:r w:rsidR="00D733D2">
              <w:t>roup</w:t>
            </w:r>
            <w:r w:rsidR="00E25912">
              <w:t xml:space="preserve"> on </w:t>
            </w:r>
            <w:r w:rsidR="00632368">
              <w:t>Traceability</w:t>
            </w:r>
          </w:p>
        </w:tc>
        <w:tc>
          <w:tcPr>
            <w:tcW w:w="5806" w:type="dxa"/>
          </w:tcPr>
          <w:p w:rsidR="00667BBD" w:rsidRPr="00667BBD" w:rsidRDefault="00B45663" w:rsidP="002132CC">
            <w:pPr>
              <w:pStyle w:val="hg1"/>
              <w:ind w:left="0" w:firstLine="0"/>
            </w:pPr>
            <w:r>
              <w:t xml:space="preserve">The work programme of the working group was adopted as per </w:t>
            </w:r>
            <w:hyperlink r:id="rId9" w:history="1">
              <w:r w:rsidR="00D733D2" w:rsidRPr="00D733D2">
                <w:rPr>
                  <w:rStyle w:val="Hyperlink"/>
                </w:rPr>
                <w:t>SC 69 Doc.4</w:t>
              </w:r>
              <w:r w:rsidR="00632368">
                <w:rPr>
                  <w:rStyle w:val="Hyperlink"/>
                </w:rPr>
                <w:t>2</w:t>
              </w:r>
              <w:r w:rsidR="00F95DD3">
                <w:rPr>
                  <w:rStyle w:val="Hyperlink"/>
                </w:rPr>
                <w:t xml:space="preserve"> Annex I</w:t>
              </w:r>
              <w:r w:rsidR="00723389">
                <w:rPr>
                  <w:rStyle w:val="Hyperlink"/>
                </w:rPr>
                <w:t xml:space="preserve"> </w:t>
              </w:r>
              <w:r w:rsidR="00D733D2" w:rsidRPr="00D733D2">
                <w:rPr>
                  <w:rStyle w:val="Hyperlink"/>
                </w:rPr>
                <w:t xml:space="preserve"> </w:t>
              </w:r>
            </w:hyperlink>
            <w:r w:rsidR="00723389">
              <w:t xml:space="preserve"> </w:t>
            </w:r>
          </w:p>
        </w:tc>
      </w:tr>
      <w:tr w:rsidR="00F95DD3" w:rsidTr="005C45AF">
        <w:tc>
          <w:tcPr>
            <w:tcW w:w="3426" w:type="dxa"/>
          </w:tcPr>
          <w:p w:rsidR="00F95DD3" w:rsidRDefault="00396988" w:rsidP="00B42030">
            <w:pPr>
              <w:pStyle w:val="hg1"/>
              <w:numPr>
                <w:ilvl w:val="0"/>
                <w:numId w:val="8"/>
              </w:numPr>
            </w:pPr>
            <w:r>
              <w:t>Presentation and discussion of preliminary outputs of UNCTAD consultancy in support of Decision 17.152 and 17.155 b):</w:t>
            </w:r>
          </w:p>
        </w:tc>
        <w:tc>
          <w:tcPr>
            <w:tcW w:w="5806" w:type="dxa"/>
          </w:tcPr>
          <w:p w:rsidR="00B42030" w:rsidRDefault="00B15D75" w:rsidP="00B15D75">
            <w:pPr>
              <w:pStyle w:val="hg1"/>
              <w:ind w:left="0" w:firstLine="0"/>
            </w:pPr>
            <w:r>
              <w:t xml:space="preserve">Dr Heiner Lehr, Syntesa and UNCTAD consultant on traceability, introduced concepts of traceability systems, provided a proposal for a working definition for CITES traceability and introduced the UNECE traceability framework.   </w:t>
            </w:r>
          </w:p>
          <w:p w:rsidR="00B15D75" w:rsidRPr="00B15D75" w:rsidRDefault="00B42030" w:rsidP="000C5673">
            <w:pPr>
              <w:pStyle w:val="hg1"/>
              <w:ind w:left="0" w:firstLine="0"/>
            </w:pPr>
            <w:r>
              <w:t>The presentation has been made available on the CITES Website on traceability</w:t>
            </w:r>
            <w:r w:rsidR="000C5673">
              <w:t>.</w:t>
            </w:r>
          </w:p>
        </w:tc>
      </w:tr>
      <w:tr w:rsidR="00F95DD3" w:rsidTr="005C45AF">
        <w:tc>
          <w:tcPr>
            <w:tcW w:w="3426" w:type="dxa"/>
          </w:tcPr>
          <w:p w:rsidR="00F95DD3" w:rsidRDefault="009B775E" w:rsidP="009B775E">
            <w:pPr>
              <w:pStyle w:val="hg1"/>
              <w:numPr>
                <w:ilvl w:val="0"/>
                <w:numId w:val="8"/>
              </w:numPr>
            </w:pPr>
            <w:r>
              <w:t xml:space="preserve">Discussion: A definition of </w:t>
            </w:r>
            <w:r w:rsidR="00396988">
              <w:t xml:space="preserve">CITES </w:t>
            </w:r>
            <w:r>
              <w:t xml:space="preserve">traceability for CITES </w:t>
            </w:r>
          </w:p>
        </w:tc>
        <w:tc>
          <w:tcPr>
            <w:tcW w:w="5806" w:type="dxa"/>
          </w:tcPr>
          <w:p w:rsidR="00396C60" w:rsidRDefault="00396C60" w:rsidP="00590434">
            <w:pPr>
              <w:pStyle w:val="hg1"/>
              <w:ind w:left="0" w:firstLine="0"/>
            </w:pPr>
            <w:r>
              <w:t>The discussion focussed on</w:t>
            </w:r>
            <w:r w:rsidR="00355E77">
              <w:t xml:space="preserve"> the </w:t>
            </w:r>
            <w:r w:rsidR="00590434">
              <w:t>definition of CITES traceability</w:t>
            </w:r>
            <w:r w:rsidR="00485FD1">
              <w:t>,</w:t>
            </w:r>
            <w:r w:rsidR="00590434">
              <w:t xml:space="preserve"> the </w:t>
            </w:r>
            <w:r w:rsidR="00355E77">
              <w:t xml:space="preserve">expectations of </w:t>
            </w:r>
            <w:r w:rsidR="00485FD1">
              <w:t>P</w:t>
            </w:r>
            <w:r w:rsidR="00590434">
              <w:t xml:space="preserve">arties on a </w:t>
            </w:r>
            <w:r>
              <w:t>traceability system</w:t>
            </w:r>
            <w:r w:rsidR="00590434">
              <w:t xml:space="preserve">, </w:t>
            </w:r>
            <w:r>
              <w:t xml:space="preserve">and </w:t>
            </w:r>
            <w:r w:rsidR="00590434">
              <w:t>how a CITES traceability system</w:t>
            </w:r>
            <w:r w:rsidR="00355E77">
              <w:t xml:space="preserve"> can be implemented in </w:t>
            </w:r>
            <w:r w:rsidR="00590434">
              <w:t>the context of cross border trade</w:t>
            </w:r>
            <w:r w:rsidR="00355E77">
              <w:t xml:space="preserve">. </w:t>
            </w:r>
          </w:p>
          <w:p w:rsidR="00355E77" w:rsidRPr="00355E77" w:rsidRDefault="00DB7BCE" w:rsidP="00590434">
            <w:r>
              <w:t xml:space="preserve">The Chairs </w:t>
            </w:r>
            <w:r w:rsidR="00590434">
              <w:t>resolved to seek input by email from the members of the Working Group on the questions raised.</w:t>
            </w:r>
            <w:r w:rsidR="00DC27DF">
              <w:t xml:space="preserve"> </w:t>
            </w:r>
          </w:p>
        </w:tc>
      </w:tr>
      <w:tr w:rsidR="00D733D2" w:rsidTr="005C45AF">
        <w:tc>
          <w:tcPr>
            <w:tcW w:w="3426" w:type="dxa"/>
          </w:tcPr>
          <w:p w:rsidR="00D733D2" w:rsidRDefault="00F61D49" w:rsidP="00F95DD3">
            <w:pPr>
              <w:pStyle w:val="hg1"/>
              <w:numPr>
                <w:ilvl w:val="0"/>
                <w:numId w:val="8"/>
              </w:numPr>
            </w:pPr>
            <w:r>
              <w:lastRenderedPageBreak/>
              <w:t>Next meeting: priorities and date and venue</w:t>
            </w:r>
          </w:p>
        </w:tc>
        <w:tc>
          <w:tcPr>
            <w:tcW w:w="5806" w:type="dxa"/>
          </w:tcPr>
          <w:p w:rsidR="00D733D2" w:rsidRDefault="00092414" w:rsidP="002A4C6E">
            <w:pPr>
              <w:pStyle w:val="hg1"/>
              <w:ind w:left="0" w:firstLine="0"/>
            </w:pPr>
            <w:r>
              <w:t>The next physical meeting of the working group will be at SC70. In the meantime the WG will be working electronically via e-Mail.</w:t>
            </w:r>
          </w:p>
        </w:tc>
      </w:tr>
    </w:tbl>
    <w:p w:rsidR="00BA08A9" w:rsidRDefault="002406C2" w:rsidP="002A4C6E">
      <w:pPr>
        <w:pStyle w:val="hg1"/>
      </w:pPr>
      <w:r>
        <w:t xml:space="preserve"> </w:t>
      </w:r>
      <w:r w:rsidR="000E79D7">
        <w:tab/>
      </w:r>
    </w:p>
    <w:p w:rsidR="00BA08A9" w:rsidRDefault="00BA08A9" w:rsidP="00BA08A9"/>
    <w:sectPr w:rsidR="00BA08A9">
      <w:footerReference w:type="default" r:id="rId10"/>
      <w:type w:val="continuous"/>
      <w:pgSz w:w="11907" w:h="16840" w:code="9"/>
      <w:pgMar w:top="1134" w:right="1134" w:bottom="1134" w:left="1134" w:header="0" w:footer="567" w:gutter="0"/>
      <w:cols w:space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A0" w:rsidRDefault="00943DA0">
      <w:r>
        <w:separator/>
      </w:r>
    </w:p>
  </w:endnote>
  <w:endnote w:type="continuationSeparator" w:id="0">
    <w:p w:rsidR="00943DA0" w:rsidRDefault="009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71" w:rsidRDefault="003C1871" w:rsidP="001D1E35">
    <w:pPr>
      <w:pStyle w:val="Footer"/>
      <w:rPr>
        <w:rStyle w:val="PageNumber"/>
      </w:rPr>
    </w:pPr>
    <w:r>
      <w:t>SC6</w:t>
    </w:r>
    <w:r w:rsidR="001D1E35">
      <w:t>9</w:t>
    </w:r>
    <w:r>
      <w:t xml:space="preserve"> Doc. XXX</w:t>
    </w:r>
    <w:r>
      <w:rPr>
        <w:rStyle w:val="PageNumber"/>
      </w:rPr>
      <w:t xml:space="preserve"> –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94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A0" w:rsidRDefault="00943DA0">
      <w:pPr>
        <w:spacing w:before="100" w:after="0"/>
      </w:pPr>
      <w:r>
        <w:separator/>
      </w:r>
    </w:p>
  </w:footnote>
  <w:footnote w:type="continuationSeparator" w:id="0">
    <w:p w:rsidR="00943DA0" w:rsidRDefault="0094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519"/>
    <w:multiLevelType w:val="hybridMultilevel"/>
    <w:tmpl w:val="D87C9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C65"/>
    <w:multiLevelType w:val="hybridMultilevel"/>
    <w:tmpl w:val="49CEE5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380491"/>
    <w:multiLevelType w:val="hybridMultilevel"/>
    <w:tmpl w:val="B632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0958"/>
    <w:multiLevelType w:val="hybridMultilevel"/>
    <w:tmpl w:val="21F067F0"/>
    <w:lvl w:ilvl="0" w:tplc="E944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4FDB"/>
    <w:multiLevelType w:val="hybridMultilevel"/>
    <w:tmpl w:val="72D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7EB6"/>
    <w:multiLevelType w:val="hybridMultilevel"/>
    <w:tmpl w:val="BA805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F113C"/>
    <w:multiLevelType w:val="hybridMultilevel"/>
    <w:tmpl w:val="ACB8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5016"/>
    <w:multiLevelType w:val="hybridMultilevel"/>
    <w:tmpl w:val="8812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1901"/>
    <w:multiLevelType w:val="hybridMultilevel"/>
    <w:tmpl w:val="F494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57B33"/>
    <w:multiLevelType w:val="hybridMultilevel"/>
    <w:tmpl w:val="ECC6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0101C"/>
    <w:multiLevelType w:val="hybridMultilevel"/>
    <w:tmpl w:val="8452B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2A415F"/>
    <w:multiLevelType w:val="hybridMultilevel"/>
    <w:tmpl w:val="BF18AE3C"/>
    <w:lvl w:ilvl="0" w:tplc="6430E4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BF"/>
    <w:rsid w:val="000751D4"/>
    <w:rsid w:val="00092414"/>
    <w:rsid w:val="000C0BE9"/>
    <w:rsid w:val="000C5673"/>
    <w:rsid w:val="000E79D7"/>
    <w:rsid w:val="00122469"/>
    <w:rsid w:val="00144AFF"/>
    <w:rsid w:val="00152253"/>
    <w:rsid w:val="00194FEF"/>
    <w:rsid w:val="001D1E35"/>
    <w:rsid w:val="001D647E"/>
    <w:rsid w:val="001E2608"/>
    <w:rsid w:val="001E3F7E"/>
    <w:rsid w:val="002132CC"/>
    <w:rsid w:val="002406C2"/>
    <w:rsid w:val="002414F3"/>
    <w:rsid w:val="00244BA3"/>
    <w:rsid w:val="002829FD"/>
    <w:rsid w:val="002A1A88"/>
    <w:rsid w:val="002A4C6E"/>
    <w:rsid w:val="002D3581"/>
    <w:rsid w:val="002E042B"/>
    <w:rsid w:val="00346FD3"/>
    <w:rsid w:val="0035553A"/>
    <w:rsid w:val="00355E77"/>
    <w:rsid w:val="00396988"/>
    <w:rsid w:val="00396C60"/>
    <w:rsid w:val="003B604C"/>
    <w:rsid w:val="003C1871"/>
    <w:rsid w:val="004259BB"/>
    <w:rsid w:val="00485FD1"/>
    <w:rsid w:val="0058635C"/>
    <w:rsid w:val="00590434"/>
    <w:rsid w:val="005C45AF"/>
    <w:rsid w:val="00623642"/>
    <w:rsid w:val="00632368"/>
    <w:rsid w:val="00667BBD"/>
    <w:rsid w:val="00677319"/>
    <w:rsid w:val="006A3CA3"/>
    <w:rsid w:val="006B1942"/>
    <w:rsid w:val="006B7AE4"/>
    <w:rsid w:val="006C6750"/>
    <w:rsid w:val="00723389"/>
    <w:rsid w:val="00776328"/>
    <w:rsid w:val="00790AC6"/>
    <w:rsid w:val="007F65FF"/>
    <w:rsid w:val="00815700"/>
    <w:rsid w:val="00845085"/>
    <w:rsid w:val="00850117"/>
    <w:rsid w:val="008E2A23"/>
    <w:rsid w:val="009203E8"/>
    <w:rsid w:val="009229D9"/>
    <w:rsid w:val="00925D7F"/>
    <w:rsid w:val="00930030"/>
    <w:rsid w:val="00943DA0"/>
    <w:rsid w:val="009817D5"/>
    <w:rsid w:val="009B3F4D"/>
    <w:rsid w:val="009B775E"/>
    <w:rsid w:val="009D6B1E"/>
    <w:rsid w:val="00A074ED"/>
    <w:rsid w:val="00A3195F"/>
    <w:rsid w:val="00A90739"/>
    <w:rsid w:val="00AA590E"/>
    <w:rsid w:val="00AA793C"/>
    <w:rsid w:val="00AE2ABB"/>
    <w:rsid w:val="00B00F73"/>
    <w:rsid w:val="00B15D75"/>
    <w:rsid w:val="00B42030"/>
    <w:rsid w:val="00B45663"/>
    <w:rsid w:val="00B67A1D"/>
    <w:rsid w:val="00B81FFB"/>
    <w:rsid w:val="00BA08A9"/>
    <w:rsid w:val="00BA08EF"/>
    <w:rsid w:val="00BB6706"/>
    <w:rsid w:val="00C31E13"/>
    <w:rsid w:val="00C5107F"/>
    <w:rsid w:val="00C61579"/>
    <w:rsid w:val="00CC7461"/>
    <w:rsid w:val="00CE4DAB"/>
    <w:rsid w:val="00CF0E1F"/>
    <w:rsid w:val="00D07EE4"/>
    <w:rsid w:val="00D10035"/>
    <w:rsid w:val="00D160FB"/>
    <w:rsid w:val="00D733D2"/>
    <w:rsid w:val="00D819F7"/>
    <w:rsid w:val="00D90C7E"/>
    <w:rsid w:val="00DB7BCE"/>
    <w:rsid w:val="00DC27DF"/>
    <w:rsid w:val="00E117BF"/>
    <w:rsid w:val="00E25912"/>
    <w:rsid w:val="00E44BC6"/>
    <w:rsid w:val="00E62092"/>
    <w:rsid w:val="00E63A13"/>
    <w:rsid w:val="00E77A1C"/>
    <w:rsid w:val="00EC2A1D"/>
    <w:rsid w:val="00ED3661"/>
    <w:rsid w:val="00ED7A2B"/>
    <w:rsid w:val="00F43CB6"/>
    <w:rsid w:val="00F545C7"/>
    <w:rsid w:val="00F61D49"/>
    <w:rsid w:val="00F6394D"/>
    <w:rsid w:val="00F6635E"/>
    <w:rsid w:val="00F72F8D"/>
    <w:rsid w:val="00F95DD3"/>
    <w:rsid w:val="00FC6C94"/>
    <w:rsid w:val="00FE1FE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A99CB0-58B0-4358-84B0-5E0A4376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tabs>
        <w:tab w:val="clear" w:pos="1985"/>
        <w:tab w:val="right" w:leader="dot" w:pos="9639"/>
      </w:tabs>
      <w:suppressAutoHyphens/>
      <w:jc w:val="left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</w:tabs>
      <w:suppressAutoHyphens/>
      <w:jc w:val="center"/>
      <w:outlineLvl w:val="1"/>
    </w:pPr>
    <w:rPr>
      <w:rFonts w:ascii="Univers" w:hAnsi="Univers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customStyle="1" w:styleId="anneX">
    <w:name w:val="anneX"/>
    <w:basedOn w:val="Normal"/>
    <w:next w:val="Normal"/>
    <w:pPr>
      <w:keepNext/>
      <w:shd w:val="clear" w:color="auto" w:fill="CCCCCC"/>
      <w:jc w:val="center"/>
    </w:pPr>
    <w:rPr>
      <w:b/>
      <w:bCs/>
    </w:rPr>
  </w:style>
  <w:style w:type="paragraph" w:styleId="Footer">
    <w:name w:val="footer"/>
    <w:basedOn w:val="Normal"/>
    <w:pPr>
      <w:widowControl w:val="0"/>
      <w:spacing w:after="0"/>
      <w:jc w:val="center"/>
    </w:pPr>
  </w:style>
  <w:style w:type="character" w:styleId="PageNumber">
    <w:name w:val="page number"/>
    <w:rPr>
      <w:rFonts w:ascii="Arial" w:hAnsi="Arial"/>
      <w:noProof w:val="0"/>
      <w:spacing w:val="-2"/>
      <w:w w:val="100"/>
      <w:kern w:val="20"/>
      <w:position w:val="0"/>
      <w:sz w:val="20"/>
      <w:lang w:val="en-GB"/>
    </w:rPr>
  </w:style>
  <w:style w:type="paragraph" w:styleId="FootnoteText">
    <w:name w:val="footnote text"/>
    <w:basedOn w:val="Footnote"/>
    <w:next w:val="Normal"/>
    <w:semiHidden/>
  </w:style>
  <w:style w:type="paragraph" w:customStyle="1" w:styleId="Footnote">
    <w:name w:val="Footnote"/>
    <w:basedOn w:val="hg1"/>
    <w:next w:val="Normal"/>
    <w:pPr>
      <w:spacing w:before="100" w:after="0"/>
    </w:pPr>
    <w:rPr>
      <w:i/>
      <w:kern w:val="16"/>
      <w:sz w:val="16"/>
    </w:rPr>
  </w:style>
  <w:style w:type="paragraph" w:customStyle="1" w:styleId="hg1">
    <w:name w:val="hg1"/>
    <w:basedOn w:val="Normal"/>
    <w:next w:val="Normal"/>
    <w:pPr>
      <w:ind w:left="397" w:hanging="397"/>
    </w:pPr>
  </w:style>
  <w:style w:type="paragraph" w:customStyle="1" w:styleId="hg2">
    <w:name w:val="hg2"/>
    <w:basedOn w:val="Normal"/>
    <w:next w:val="Normal"/>
    <w:pPr>
      <w:ind w:left="794" w:hanging="794"/>
    </w:pPr>
  </w:style>
  <w:style w:type="paragraph" w:customStyle="1" w:styleId="hg3">
    <w:name w:val="hg3"/>
    <w:basedOn w:val="Normal"/>
    <w:next w:val="Normal"/>
    <w:pPr>
      <w:ind w:left="1191" w:hanging="1191"/>
    </w:pPr>
  </w:style>
  <w:style w:type="paragraph" w:customStyle="1" w:styleId="hg4">
    <w:name w:val="hg4"/>
    <w:basedOn w:val="Normal"/>
    <w:next w:val="Normal"/>
    <w:pPr>
      <w:ind w:left="1588" w:hanging="1588"/>
    </w:pPr>
  </w:style>
  <w:style w:type="paragraph" w:customStyle="1" w:styleId="hg5">
    <w:name w:val="hg5"/>
    <w:basedOn w:val="Normal"/>
    <w:next w:val="Normal"/>
    <w:pPr>
      <w:ind w:left="1985" w:hanging="1985"/>
    </w:pPr>
  </w:style>
  <w:style w:type="paragraph" w:customStyle="1" w:styleId="Title-start">
    <w:name w:val="Title-start"/>
    <w:basedOn w:val="Normal"/>
    <w:next w:val="Normal"/>
    <w:pPr>
      <w:keepNext/>
      <w:keepLines/>
      <w:widowControl w:val="0"/>
      <w:suppressAutoHyphens/>
      <w:jc w:val="center"/>
      <w:outlineLvl w:val="0"/>
    </w:pPr>
    <w:rPr>
      <w:u w:val="single"/>
    </w:rPr>
  </w:style>
  <w:style w:type="paragraph" w:customStyle="1" w:styleId="Hd7">
    <w:name w:val="Hd7"/>
    <w:basedOn w:val="Title-end"/>
    <w:next w:val="Normal"/>
    <w:pPr>
      <w:spacing w:after="240"/>
      <w:outlineLvl w:val="9"/>
    </w:pPr>
  </w:style>
  <w:style w:type="paragraph" w:customStyle="1" w:styleId="Title-end">
    <w:name w:val="Title-end"/>
    <w:basedOn w:val="Normal"/>
    <w:next w:val="Normal"/>
    <w:pPr>
      <w:keepNext/>
      <w:keepLines/>
      <w:widowControl w:val="0"/>
      <w:suppressAutoHyphens/>
      <w:spacing w:after="480"/>
      <w:jc w:val="center"/>
      <w:outlineLvl w:val="1"/>
    </w:pPr>
    <w:rPr>
      <w:caps/>
    </w:rPr>
  </w:style>
  <w:style w:type="paragraph" w:customStyle="1" w:styleId="Hd0">
    <w:name w:val="Hd0"/>
    <w:basedOn w:val="Normal"/>
    <w:next w:val="Normal"/>
    <w:link w:val="Hd0Char"/>
    <w:pPr>
      <w:keepNext/>
      <w:keepLines/>
      <w:widowControl w:val="0"/>
      <w:suppressAutoHyphens/>
      <w:jc w:val="left"/>
    </w:pPr>
    <w:rPr>
      <w:u w:val="single"/>
    </w:rPr>
  </w:style>
  <w:style w:type="character" w:customStyle="1" w:styleId="Hd0Char">
    <w:name w:val="Hd0 Char"/>
    <w:link w:val="Hd0"/>
    <w:rPr>
      <w:rFonts w:ascii="Univers" w:hAnsi="Univers"/>
      <w:color w:val="000000"/>
      <w:spacing w:val="-2"/>
      <w:kern w:val="20"/>
      <w:u w:val="single"/>
      <w:lang w:val="en-GB" w:eastAsia="en-US" w:bidi="ar-SA"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Hd6">
    <w:name w:val="Hd6"/>
    <w:basedOn w:val="Title-start"/>
    <w:next w:val="Normal"/>
    <w:pPr>
      <w:outlineLvl w:val="9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Venue">
    <w:name w:val="Venue"/>
    <w:basedOn w:val="Normal"/>
    <w:next w:val="Normal"/>
    <w:pPr>
      <w:keepNext/>
      <w:keepLines/>
      <w:widowControl w:val="0"/>
      <w:suppressAutoHyphens/>
      <w:spacing w:after="480"/>
      <w:jc w:val="center"/>
    </w:pPr>
  </w:style>
  <w:style w:type="paragraph" w:customStyle="1" w:styleId="CITES">
    <w:name w:val="CITES"/>
    <w:basedOn w:val="Normal"/>
    <w:next w:val="Normal"/>
    <w:pPr>
      <w:suppressAutoHyphens/>
      <w:jc w:val="center"/>
    </w:pPr>
    <w:rPr>
      <w:caps/>
    </w:rPr>
  </w:style>
  <w:style w:type="paragraph" w:customStyle="1" w:styleId="No">
    <w:name w:val="No"/>
    <w:basedOn w:val="Normal"/>
    <w:next w:val="Normal"/>
    <w:pPr>
      <w:keepNext/>
      <w:keepLines/>
      <w:widowControl w:val="0"/>
      <w:suppressAutoHyphens/>
      <w:jc w:val="right"/>
    </w:pPr>
  </w:style>
  <w:style w:type="character" w:customStyle="1" w:styleId="strike">
    <w:name w:val="strike"/>
    <w:rPr>
      <w:rFonts w:ascii="Arial" w:hAnsi="Arial"/>
      <w:strike/>
      <w:dstrike w:val="0"/>
    </w:rPr>
  </w:style>
  <w:style w:type="table" w:styleId="TableGrid">
    <w:name w:val="Table Grid"/>
    <w:basedOn w:val="TableNormal"/>
    <w:rsid w:val="00B8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33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3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7B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7BBD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D90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ites.org/sites/default/files/eng/com/sc/69/E-SC69-4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kart\Documents\0%20CITES\69%20SC\E-SC69-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30B8-4710-4A23-BD99-03B5C118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E-SC69-Doc.dotx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Sixty-ninth meeting of the CITES Standing Committee</vt:lpstr>
    </vt:vector>
  </TitlesOfParts>
  <Company>United Nations Office at Geneva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Sixty-ninth meeting of the CITES Standing Committee</dc:title>
  <dc:subject>SC69 Doc.</dc:subject>
  <dc:creator>PIKART</dc:creator>
  <cp:lastModifiedBy>PIKART</cp:lastModifiedBy>
  <cp:revision>7</cp:revision>
  <cp:lastPrinted>2017-10-19T12:43:00Z</cp:lastPrinted>
  <dcterms:created xsi:type="dcterms:W3CDTF">2017-12-12T16:06:00Z</dcterms:created>
  <dcterms:modified xsi:type="dcterms:W3CDTF">2017-12-12T16:14:00Z</dcterms:modified>
</cp:coreProperties>
</file>