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9DFF1" w14:textId="77777777" w:rsidR="00781108" w:rsidRPr="00744841" w:rsidRDefault="00781108" w:rsidP="00781108">
      <w:pPr>
        <w:pStyle w:val="NoSpacing"/>
        <w:jc w:val="right"/>
        <w:rPr>
          <w:color w:val="auto"/>
          <w:lang w:val="es-ES"/>
        </w:rPr>
      </w:pPr>
    </w:p>
    <w:p w14:paraId="0530EE2E" w14:textId="77777777" w:rsidR="00781108" w:rsidRPr="00744841" w:rsidRDefault="00781108" w:rsidP="00781108">
      <w:pPr>
        <w:spacing w:after="480"/>
        <w:jc w:val="center"/>
        <w:rPr>
          <w:color w:val="auto"/>
          <w:lang w:val="es-ES"/>
        </w:rPr>
      </w:pPr>
      <w:r w:rsidRPr="00744841">
        <w:rPr>
          <w:color w:val="auto"/>
          <w:lang w:val="es-ES"/>
        </w:rPr>
        <w:t>INFORME SOBRE EL ‘COMPENDIO DE LA CITES SOBRE LOS BOSQUES: COP19-COP20’</w:t>
      </w:r>
      <w:r w:rsidRPr="00744841">
        <w:rPr>
          <w:color w:val="auto"/>
          <w:lang w:val="es-ES"/>
        </w:rPr>
        <w:br/>
        <w:t>DE CONFORMIDAD CON EL PÁRRAFO A) DE LA DECISIÓN 19.32</w:t>
      </w:r>
    </w:p>
    <w:p w14:paraId="5A06D69A" w14:textId="5B413F9A" w:rsidR="003666C5" w:rsidRPr="00744841" w:rsidRDefault="00BE1ED0" w:rsidP="00BE1ED0">
      <w:pPr>
        <w:spacing w:after="230"/>
        <w:ind w:left="-1"/>
        <w:jc w:val="left"/>
        <w:rPr>
          <w:rFonts w:cs="Arial"/>
          <w:color w:val="auto"/>
          <w:lang w:val="es-ES"/>
        </w:rPr>
      </w:pPr>
      <w:r w:rsidRPr="00744841">
        <w:rPr>
          <w:rFonts w:cs="Arial"/>
          <w:color w:val="auto"/>
          <w:u w:val="single"/>
          <w:lang w:val="es-ES"/>
        </w:rPr>
        <w:t xml:space="preserve">Introducción </w:t>
      </w:r>
      <w:r w:rsidR="007A638A" w:rsidRPr="00744841">
        <w:rPr>
          <w:rFonts w:cs="Arial"/>
          <w:color w:val="auto"/>
          <w:lang w:val="es-ES"/>
        </w:rPr>
        <w:t xml:space="preserve"> </w:t>
      </w:r>
    </w:p>
    <w:p w14:paraId="10B129E2" w14:textId="5F611814" w:rsidR="003666C5" w:rsidRPr="00744841" w:rsidRDefault="00BE1ED0" w:rsidP="00BE1ED0">
      <w:pPr>
        <w:ind w:left="-3" w:right="41"/>
        <w:rPr>
          <w:rFonts w:cs="Arial"/>
          <w:color w:val="auto"/>
          <w:lang w:val="es-ES"/>
        </w:rPr>
      </w:pPr>
      <w:r w:rsidRPr="00744841">
        <w:rPr>
          <w:rFonts w:cs="Arial"/>
          <w:color w:val="auto"/>
          <w:lang w:val="es-ES"/>
        </w:rPr>
        <w:t>En las Decisiones 19.32 y 19.33 se solicita que cualquier nueva iniciativa sobre la CITES y los bosques de prioridad, o se centre en las especies arbóreas incluidas en la CITES.</w:t>
      </w:r>
      <w:r w:rsidR="007A638A" w:rsidRPr="00744841">
        <w:rPr>
          <w:rFonts w:cs="Arial"/>
          <w:color w:val="auto"/>
          <w:lang w:val="es-ES"/>
        </w:rPr>
        <w:t xml:space="preserve"> </w:t>
      </w:r>
      <w:r w:rsidRPr="00744841">
        <w:rPr>
          <w:rFonts w:cs="Arial"/>
          <w:color w:val="auto"/>
          <w:lang w:val="es-ES"/>
        </w:rPr>
        <w:t>En consonancia, el compendio se centra, en esta fase, en las disposiciones de la CITES relevantes para las especies arbóreas.</w:t>
      </w:r>
      <w:r w:rsidR="007A638A" w:rsidRPr="00744841">
        <w:rPr>
          <w:rFonts w:cs="Arial"/>
          <w:color w:val="auto"/>
          <w:lang w:val="es-ES"/>
        </w:rPr>
        <w:t xml:space="preserve">  </w:t>
      </w:r>
    </w:p>
    <w:p w14:paraId="7413DF54" w14:textId="3B5CF55E" w:rsidR="003666C5" w:rsidRPr="00744841" w:rsidRDefault="00BE1ED0" w:rsidP="00BE1ED0">
      <w:pPr>
        <w:ind w:left="-3" w:right="41"/>
        <w:rPr>
          <w:rFonts w:cs="Arial"/>
          <w:color w:val="auto"/>
          <w:lang w:val="es-ES"/>
        </w:rPr>
      </w:pPr>
      <w:r w:rsidRPr="00744841">
        <w:rPr>
          <w:rFonts w:cs="Arial"/>
          <w:color w:val="auto"/>
          <w:lang w:val="es-ES"/>
        </w:rPr>
        <w:t>El compendio se estructura en tres secciones, como sigue:</w:t>
      </w:r>
      <w:r w:rsidR="007A638A" w:rsidRPr="00744841">
        <w:rPr>
          <w:rFonts w:cs="Arial"/>
          <w:color w:val="auto"/>
          <w:lang w:val="es-ES"/>
        </w:rPr>
        <w:t xml:space="preserve">  </w:t>
      </w:r>
    </w:p>
    <w:p w14:paraId="0F32BBE0" w14:textId="06FFC99A" w:rsidR="003666C5" w:rsidRPr="00744841" w:rsidRDefault="00BE1ED0" w:rsidP="00BE1ED0">
      <w:pPr>
        <w:numPr>
          <w:ilvl w:val="0"/>
          <w:numId w:val="17"/>
        </w:numPr>
        <w:tabs>
          <w:tab w:val="clear" w:pos="397"/>
          <w:tab w:val="clear" w:pos="794"/>
          <w:tab w:val="clear" w:pos="1191"/>
          <w:tab w:val="clear" w:pos="1588"/>
          <w:tab w:val="clear" w:pos="1985"/>
        </w:tabs>
        <w:spacing w:after="233"/>
        <w:ind w:right="41" w:hanging="396"/>
        <w:rPr>
          <w:rFonts w:cs="Arial"/>
          <w:color w:val="auto"/>
          <w:lang w:val="es-ES"/>
        </w:rPr>
      </w:pPr>
      <w:r w:rsidRPr="00744841">
        <w:rPr>
          <w:rFonts w:cs="Arial"/>
          <w:color w:val="auto"/>
          <w:lang w:val="es-ES"/>
        </w:rPr>
        <w:t xml:space="preserve">Sección 1: Resoluciones que pueden proporcionar un marco técnico (operativo y científico) o político estratégico para cualquier nueva iniciativa sobre la </w:t>
      </w:r>
      <w:r w:rsidRPr="00744841">
        <w:rPr>
          <w:rFonts w:cs="Arial"/>
          <w:i/>
          <w:color w:val="auto"/>
          <w:lang w:val="es-ES"/>
        </w:rPr>
        <w:t>CITES y los bosques,</w:t>
      </w:r>
      <w:r w:rsidRPr="00744841">
        <w:rPr>
          <w:rFonts w:cs="Arial"/>
          <w:color w:val="auto"/>
          <w:lang w:val="es-ES"/>
        </w:rPr>
        <w:t xml:space="preserve"> que se centre en las especies arbóreas.</w:t>
      </w:r>
      <w:r w:rsidR="007A638A" w:rsidRPr="00744841">
        <w:rPr>
          <w:rFonts w:cs="Arial"/>
          <w:color w:val="auto"/>
          <w:lang w:val="es-ES"/>
        </w:rPr>
        <w:t xml:space="preserve"> </w:t>
      </w:r>
    </w:p>
    <w:p w14:paraId="462B6800" w14:textId="7F1188C0" w:rsidR="003666C5" w:rsidRPr="00744841" w:rsidRDefault="00BE1ED0" w:rsidP="00BE1ED0">
      <w:pPr>
        <w:numPr>
          <w:ilvl w:val="0"/>
          <w:numId w:val="17"/>
        </w:numPr>
        <w:tabs>
          <w:tab w:val="clear" w:pos="397"/>
          <w:tab w:val="clear" w:pos="794"/>
          <w:tab w:val="clear" w:pos="1191"/>
          <w:tab w:val="clear" w:pos="1588"/>
          <w:tab w:val="clear" w:pos="1985"/>
        </w:tabs>
        <w:spacing w:after="233"/>
        <w:ind w:right="41" w:hanging="396"/>
        <w:rPr>
          <w:rFonts w:cs="Arial"/>
          <w:color w:val="auto"/>
          <w:lang w:val="es-ES"/>
        </w:rPr>
      </w:pPr>
      <w:r w:rsidRPr="00744841">
        <w:rPr>
          <w:rFonts w:cs="Arial"/>
          <w:color w:val="auto"/>
          <w:lang w:val="es-ES"/>
        </w:rPr>
        <w:t xml:space="preserve">Sección 2: Decisiones pertinentes para las especies arbóreas con posibilidades de aplicación a través de un enfoque programático para cualquier nueva iniciativa sobre la </w:t>
      </w:r>
      <w:r w:rsidRPr="00744841">
        <w:rPr>
          <w:rFonts w:cs="Arial"/>
          <w:i/>
          <w:color w:val="auto"/>
          <w:lang w:val="es-ES"/>
        </w:rPr>
        <w:t>CITES y los bosques</w:t>
      </w:r>
      <w:r w:rsidRPr="00744841">
        <w:rPr>
          <w:rFonts w:cs="Arial"/>
          <w:color w:val="auto"/>
          <w:lang w:val="es-ES"/>
        </w:rPr>
        <w:t>.</w:t>
      </w:r>
      <w:r w:rsidR="007A638A" w:rsidRPr="00744841">
        <w:rPr>
          <w:rFonts w:cs="Arial"/>
          <w:color w:val="auto"/>
          <w:lang w:val="es-ES"/>
        </w:rPr>
        <w:t xml:space="preserve"> </w:t>
      </w:r>
    </w:p>
    <w:p w14:paraId="6E4276C0" w14:textId="7ABEF8F4" w:rsidR="003666C5" w:rsidRPr="00744841" w:rsidRDefault="00BE1ED0" w:rsidP="00BE1ED0">
      <w:pPr>
        <w:numPr>
          <w:ilvl w:val="0"/>
          <w:numId w:val="17"/>
        </w:numPr>
        <w:tabs>
          <w:tab w:val="clear" w:pos="397"/>
          <w:tab w:val="clear" w:pos="794"/>
          <w:tab w:val="clear" w:pos="1191"/>
          <w:tab w:val="clear" w:pos="1588"/>
          <w:tab w:val="clear" w:pos="1985"/>
        </w:tabs>
        <w:spacing w:after="233"/>
        <w:ind w:right="41" w:hanging="396"/>
        <w:rPr>
          <w:rFonts w:cs="Arial"/>
          <w:color w:val="auto"/>
          <w:lang w:val="es-ES"/>
        </w:rPr>
      </w:pPr>
      <w:r w:rsidRPr="00744841">
        <w:rPr>
          <w:rFonts w:cs="Arial"/>
          <w:color w:val="auto"/>
          <w:lang w:val="es-ES"/>
        </w:rPr>
        <w:t xml:space="preserve">Sección 3: Ejemplos de procesos intersectoriales de la Convención que contribuyan a mandatos mundiales pertinentes sobre los bosques bajo un enfoque programático de la </w:t>
      </w:r>
      <w:r w:rsidRPr="00744841">
        <w:rPr>
          <w:rFonts w:cs="Arial"/>
          <w:i/>
          <w:color w:val="auto"/>
          <w:lang w:val="es-ES"/>
        </w:rPr>
        <w:t xml:space="preserve">CITES y los bosques </w:t>
      </w:r>
      <w:r w:rsidRPr="00744841">
        <w:rPr>
          <w:rFonts w:cs="Arial"/>
          <w:color w:val="auto"/>
          <w:lang w:val="es-ES"/>
        </w:rPr>
        <w:t>y una lista de proyectos para el periodo comprendido entre la CoP19 (2022) y la CoP20 (2025).</w:t>
      </w:r>
    </w:p>
    <w:p w14:paraId="42E0AD17" w14:textId="31FCA629" w:rsidR="003666C5" w:rsidRPr="00744841" w:rsidRDefault="004848DE" w:rsidP="004848DE">
      <w:pPr>
        <w:spacing w:after="230"/>
        <w:ind w:left="-1"/>
        <w:jc w:val="left"/>
        <w:rPr>
          <w:rFonts w:cs="Arial"/>
          <w:color w:val="auto"/>
          <w:lang w:val="es-ES"/>
        </w:rPr>
      </w:pPr>
      <w:r w:rsidRPr="00744841">
        <w:rPr>
          <w:rFonts w:cs="Arial"/>
          <w:color w:val="auto"/>
          <w:u w:val="single"/>
          <w:lang w:val="es-ES"/>
        </w:rPr>
        <w:t xml:space="preserve">Sección 1: Resoluciones que pueden proporcionar un marco técnico (operativo y científico) o político estratégico para cualquier nueva iniciativa sobre la </w:t>
      </w:r>
      <w:r w:rsidRPr="00744841">
        <w:rPr>
          <w:rFonts w:cs="Arial"/>
          <w:i/>
          <w:color w:val="auto"/>
          <w:u w:val="single"/>
          <w:lang w:val="es-ES"/>
        </w:rPr>
        <w:t>CITES y los bosques,</w:t>
      </w:r>
      <w:r w:rsidRPr="00744841">
        <w:rPr>
          <w:rFonts w:cs="Arial"/>
          <w:color w:val="auto"/>
          <w:u w:val="single"/>
          <w:lang w:val="es-ES"/>
        </w:rPr>
        <w:t xml:space="preserve"> que se centre en las especies arbóreas</w:t>
      </w:r>
      <w:r w:rsidR="007A638A" w:rsidRPr="00744841">
        <w:rPr>
          <w:rFonts w:cs="Arial"/>
          <w:color w:val="auto"/>
          <w:lang w:val="es-ES"/>
        </w:rPr>
        <w:t xml:space="preserve"> </w:t>
      </w:r>
    </w:p>
    <w:p w14:paraId="4126812A" w14:textId="7DA3CD1F" w:rsidR="00C158D7" w:rsidRPr="00744841" w:rsidRDefault="00C158D7" w:rsidP="00C158D7">
      <w:pPr>
        <w:rPr>
          <w:color w:val="auto"/>
          <w:lang w:val="es-ES"/>
        </w:rPr>
      </w:pPr>
      <w:r w:rsidRPr="00744841">
        <w:rPr>
          <w:color w:val="auto"/>
          <w:lang w:val="es-ES"/>
        </w:rPr>
        <w:t xml:space="preserve">El enfoque para esta sección se ha adaptado del fundamento contenido en el Anexo 1 del </w:t>
      </w:r>
      <w:r w:rsidR="00CC1CBC" w:rsidRPr="00744841">
        <w:rPr>
          <w:color w:val="auto"/>
          <w:lang w:val="es-ES"/>
        </w:rPr>
        <w:t>documento</w:t>
      </w:r>
      <w:r w:rsidRPr="00744841">
        <w:rPr>
          <w:color w:val="auto"/>
          <w:lang w:val="es-ES"/>
        </w:rPr>
        <w:t xml:space="preserve"> </w:t>
      </w:r>
      <w:hyperlink r:id="rId11" w:history="1">
        <w:r w:rsidRPr="00744841">
          <w:rPr>
            <w:rStyle w:val="Hyperlink"/>
            <w:color w:val="auto"/>
            <w:lang w:val="es-ES"/>
          </w:rPr>
          <w:t>PC25 Doc. 12</w:t>
        </w:r>
      </w:hyperlink>
      <w:r w:rsidRPr="00744841">
        <w:rPr>
          <w:color w:val="auto"/>
          <w:lang w:val="es-ES"/>
        </w:rPr>
        <w:t xml:space="preserve">, y se ha actualizado a tenor de las resoluciones en vigor después de la CoP19. </w:t>
      </w:r>
    </w:p>
    <w:tbl>
      <w:tblPr>
        <w:tblStyle w:val="TableGrid1"/>
        <w:tblW w:w="9685" w:type="dxa"/>
        <w:tblInd w:w="0" w:type="dxa"/>
        <w:tblCellMar>
          <w:top w:w="46" w:type="dxa"/>
          <w:left w:w="108" w:type="dxa"/>
          <w:right w:w="50" w:type="dxa"/>
        </w:tblCellMar>
        <w:tblLook w:val="04A0" w:firstRow="1" w:lastRow="0" w:firstColumn="1" w:lastColumn="0" w:noHBand="0" w:noVBand="1"/>
      </w:tblPr>
      <w:tblGrid>
        <w:gridCol w:w="2092"/>
        <w:gridCol w:w="3960"/>
        <w:gridCol w:w="3633"/>
      </w:tblGrid>
      <w:tr w:rsidR="00D54A66" w:rsidRPr="00E428FD" w14:paraId="46305F34" w14:textId="77777777">
        <w:trPr>
          <w:trHeight w:val="468"/>
        </w:trPr>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39D7695" w14:textId="267A066C" w:rsidR="007A638A" w:rsidRPr="00744841" w:rsidRDefault="004848DE" w:rsidP="00C158D7">
            <w:pPr>
              <w:spacing w:after="0"/>
              <w:ind w:right="57"/>
              <w:jc w:val="center"/>
              <w:rPr>
                <w:rFonts w:cs="Arial"/>
                <w:color w:val="auto"/>
                <w:sz w:val="20"/>
                <w:szCs w:val="20"/>
                <w:lang w:val="es-ES"/>
              </w:rPr>
            </w:pPr>
            <w:r w:rsidRPr="00744841">
              <w:rPr>
                <w:rFonts w:cs="Arial"/>
                <w:b/>
                <w:color w:val="auto"/>
                <w:sz w:val="20"/>
                <w:szCs w:val="20"/>
                <w:lang w:val="es-ES"/>
              </w:rPr>
              <w:t>Resolución</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ADB2092" w14:textId="545DC436" w:rsidR="007A638A" w:rsidRPr="00744841" w:rsidRDefault="004848DE" w:rsidP="004848DE">
            <w:pPr>
              <w:spacing w:after="0"/>
              <w:ind w:right="55"/>
              <w:jc w:val="center"/>
              <w:rPr>
                <w:rFonts w:cs="Arial"/>
                <w:color w:val="auto"/>
                <w:sz w:val="20"/>
                <w:szCs w:val="20"/>
                <w:lang w:val="es-ES"/>
              </w:rPr>
            </w:pPr>
            <w:r w:rsidRPr="00744841">
              <w:rPr>
                <w:rFonts w:cs="Arial"/>
                <w:b/>
                <w:color w:val="auto"/>
                <w:sz w:val="20"/>
                <w:szCs w:val="20"/>
                <w:lang w:val="es-ES"/>
              </w:rPr>
              <w:t>Título</w:t>
            </w:r>
            <w:r w:rsidR="007A638A" w:rsidRPr="00744841">
              <w:rPr>
                <w:rFonts w:cs="Arial"/>
                <w:b/>
                <w:color w:val="auto"/>
                <w:sz w:val="20"/>
                <w:szCs w:val="20"/>
                <w:lang w:val="es-ES"/>
              </w:rPr>
              <w:t xml:space="preserve"> </w:t>
            </w:r>
          </w:p>
        </w:tc>
        <w:tc>
          <w:tcPr>
            <w:tcW w:w="36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F52CA87" w14:textId="306A2490" w:rsidR="007A638A" w:rsidRPr="00744841" w:rsidRDefault="004848DE" w:rsidP="004848DE">
            <w:pPr>
              <w:spacing w:after="0"/>
              <w:ind w:left="92"/>
              <w:jc w:val="left"/>
              <w:rPr>
                <w:rFonts w:cs="Arial"/>
                <w:color w:val="auto"/>
                <w:sz w:val="20"/>
                <w:szCs w:val="20"/>
                <w:lang w:val="es-ES"/>
              </w:rPr>
            </w:pPr>
            <w:r w:rsidRPr="00744841">
              <w:rPr>
                <w:rFonts w:cs="Arial"/>
                <w:b/>
                <w:color w:val="auto"/>
                <w:sz w:val="20"/>
                <w:szCs w:val="20"/>
                <w:lang w:val="es-ES"/>
              </w:rPr>
              <w:t>Técnico (operativo y científico) y/o estratégico</w:t>
            </w:r>
            <w:r w:rsidR="007A638A" w:rsidRPr="00744841">
              <w:rPr>
                <w:rFonts w:cs="Arial"/>
                <w:b/>
                <w:color w:val="auto"/>
                <w:sz w:val="20"/>
                <w:szCs w:val="20"/>
                <w:lang w:val="es-ES"/>
              </w:rPr>
              <w:t xml:space="preserve"> </w:t>
            </w:r>
          </w:p>
        </w:tc>
      </w:tr>
      <w:tr w:rsidR="00D54A66" w:rsidRPr="00E428FD" w14:paraId="54F31382" w14:textId="77777777">
        <w:trPr>
          <w:trHeight w:val="804"/>
        </w:trPr>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136A4" w14:textId="25F43301" w:rsidR="007A638A" w:rsidRPr="00744841" w:rsidRDefault="004848DE" w:rsidP="00C158D7">
            <w:pPr>
              <w:spacing w:after="0"/>
              <w:jc w:val="left"/>
              <w:rPr>
                <w:rFonts w:cs="Arial"/>
                <w:color w:val="auto"/>
                <w:sz w:val="20"/>
                <w:szCs w:val="20"/>
                <w:lang w:val="es-ES"/>
              </w:rPr>
            </w:pPr>
            <w:r w:rsidRPr="00744841">
              <w:rPr>
                <w:rFonts w:cs="Arial"/>
                <w:color w:val="auto"/>
                <w:sz w:val="20"/>
                <w:szCs w:val="20"/>
                <w:lang w:val="es-ES"/>
              </w:rPr>
              <w:t>Resolución Conf. 9.19 (Rev. CoP15)</w:t>
            </w:r>
            <w:r w:rsidR="007A638A" w:rsidRPr="00744841">
              <w:rPr>
                <w:rFonts w:cs="Arial"/>
                <w:color w:val="auto"/>
                <w:sz w:val="20"/>
                <w:szCs w:val="20"/>
                <w:lang w:val="es-ES"/>
              </w:rPr>
              <w:t xml:space="preserve"> </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A08DF" w14:textId="5E7BDA61" w:rsidR="007A638A" w:rsidRPr="00744841" w:rsidRDefault="004848DE" w:rsidP="004848DE">
            <w:pPr>
              <w:spacing w:after="0"/>
              <w:ind w:left="1" w:right="54"/>
              <w:rPr>
                <w:rFonts w:cs="Arial"/>
                <w:color w:val="auto"/>
                <w:sz w:val="20"/>
                <w:szCs w:val="20"/>
                <w:lang w:val="es-ES"/>
              </w:rPr>
            </w:pPr>
            <w:r w:rsidRPr="00744841">
              <w:rPr>
                <w:rFonts w:cs="Arial"/>
                <w:color w:val="auto"/>
                <w:sz w:val="20"/>
                <w:szCs w:val="20"/>
                <w:lang w:val="es-ES"/>
              </w:rPr>
              <w:t>Registro de viveros que reproducen artificialmente especímenes de especies de flora incluidas en el Apéndice I con fines de exportación</w:t>
            </w:r>
            <w:r w:rsidR="007A638A" w:rsidRPr="00744841">
              <w:rPr>
                <w:rFonts w:cs="Arial"/>
                <w:color w:val="auto"/>
                <w:sz w:val="20"/>
                <w:szCs w:val="20"/>
                <w:lang w:val="es-ES"/>
              </w:rPr>
              <w:t xml:space="preserve"> </w:t>
            </w:r>
          </w:p>
        </w:tc>
        <w:tc>
          <w:tcPr>
            <w:tcW w:w="3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DF8EA" w14:textId="3B09DE31" w:rsidR="003666C5" w:rsidRPr="00744841" w:rsidRDefault="004848DE" w:rsidP="004848DE">
            <w:pPr>
              <w:spacing w:after="0"/>
              <w:ind w:left="1"/>
              <w:jc w:val="left"/>
              <w:rPr>
                <w:rFonts w:cs="Arial"/>
                <w:color w:val="auto"/>
                <w:sz w:val="20"/>
                <w:szCs w:val="20"/>
                <w:lang w:val="es-ES"/>
              </w:rPr>
            </w:pPr>
            <w:r w:rsidRPr="00744841">
              <w:rPr>
                <w:rFonts w:cs="Arial"/>
                <w:color w:val="auto"/>
                <w:sz w:val="20"/>
                <w:szCs w:val="20"/>
                <w:lang w:val="es-ES"/>
              </w:rPr>
              <w:t>Técnico</w:t>
            </w:r>
          </w:p>
          <w:p w14:paraId="68A4A148" w14:textId="77777777" w:rsidR="003666C5" w:rsidRPr="00744841" w:rsidRDefault="003666C5">
            <w:pPr>
              <w:spacing w:after="0"/>
              <w:ind w:left="1"/>
              <w:jc w:val="left"/>
              <w:rPr>
                <w:rFonts w:cs="Arial"/>
                <w:color w:val="auto"/>
                <w:sz w:val="20"/>
                <w:szCs w:val="20"/>
                <w:lang w:val="es-ES"/>
              </w:rPr>
            </w:pPr>
          </w:p>
          <w:p w14:paraId="40E965CC" w14:textId="4C4759B6" w:rsidR="007A638A" w:rsidRPr="00744841" w:rsidRDefault="004848DE" w:rsidP="004848DE">
            <w:pPr>
              <w:spacing w:after="0"/>
              <w:ind w:left="1"/>
              <w:jc w:val="left"/>
              <w:rPr>
                <w:rFonts w:cs="Arial"/>
                <w:color w:val="auto"/>
                <w:sz w:val="20"/>
                <w:szCs w:val="20"/>
                <w:lang w:val="es-ES"/>
              </w:rPr>
            </w:pPr>
            <w:r w:rsidRPr="00744841">
              <w:rPr>
                <w:rFonts w:cs="Arial"/>
                <w:color w:val="auto"/>
                <w:sz w:val="20"/>
                <w:szCs w:val="20"/>
                <w:lang w:val="es-ES"/>
              </w:rPr>
              <w:t>Orientación sobre el proceso y los requisitos para registrar viveros, incluyendo el papel del vivero comercial, la Autoridad Administrativa y la Secretaría.</w:t>
            </w:r>
          </w:p>
        </w:tc>
      </w:tr>
      <w:tr w:rsidR="00D54A66" w:rsidRPr="00E428FD" w14:paraId="191EB884" w14:textId="77777777">
        <w:trPr>
          <w:trHeight w:val="679"/>
        </w:trPr>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0383F" w14:textId="178E72EA" w:rsidR="007A638A" w:rsidRPr="00744841" w:rsidRDefault="004848DE" w:rsidP="00C158D7">
            <w:pPr>
              <w:spacing w:after="0"/>
              <w:jc w:val="left"/>
              <w:rPr>
                <w:rFonts w:cs="Arial"/>
                <w:color w:val="auto"/>
                <w:sz w:val="20"/>
                <w:szCs w:val="20"/>
                <w:lang w:val="es-ES"/>
              </w:rPr>
            </w:pPr>
            <w:r w:rsidRPr="00744841">
              <w:rPr>
                <w:rFonts w:cs="Arial"/>
                <w:color w:val="auto"/>
                <w:sz w:val="20"/>
                <w:szCs w:val="20"/>
                <w:lang w:val="es-ES"/>
              </w:rPr>
              <w:t>Resolución Conf. 10.13 (Rev. CoP18)</w:t>
            </w:r>
            <w:r w:rsidR="007A638A" w:rsidRPr="00744841">
              <w:rPr>
                <w:rFonts w:cs="Arial"/>
                <w:color w:val="auto"/>
                <w:sz w:val="20"/>
                <w:szCs w:val="20"/>
                <w:lang w:val="es-ES"/>
              </w:rPr>
              <w:t xml:space="preserve"> </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A9072" w14:textId="0030B7E6" w:rsidR="007A638A" w:rsidRPr="00744841" w:rsidRDefault="004848DE" w:rsidP="004848DE">
            <w:pPr>
              <w:spacing w:after="0"/>
              <w:ind w:left="1"/>
              <w:rPr>
                <w:rFonts w:cs="Arial"/>
                <w:color w:val="auto"/>
                <w:sz w:val="20"/>
                <w:szCs w:val="20"/>
                <w:lang w:val="es-ES"/>
              </w:rPr>
            </w:pPr>
            <w:r w:rsidRPr="00744841">
              <w:rPr>
                <w:rFonts w:cs="Arial"/>
                <w:color w:val="auto"/>
                <w:sz w:val="20"/>
                <w:szCs w:val="20"/>
                <w:lang w:val="es-ES"/>
              </w:rPr>
              <w:t>Aplicación de la Convención a las especies maderables</w:t>
            </w:r>
            <w:r w:rsidR="007A638A" w:rsidRPr="00744841">
              <w:rPr>
                <w:rFonts w:cs="Arial"/>
                <w:color w:val="auto"/>
                <w:sz w:val="20"/>
                <w:szCs w:val="20"/>
                <w:lang w:val="es-ES"/>
              </w:rPr>
              <w:t xml:space="preserve"> </w:t>
            </w:r>
          </w:p>
        </w:tc>
        <w:tc>
          <w:tcPr>
            <w:tcW w:w="3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760B6" w14:textId="4D6B5B36" w:rsidR="003666C5" w:rsidRPr="00744841" w:rsidRDefault="004848DE" w:rsidP="004848DE">
            <w:pPr>
              <w:spacing w:after="0"/>
              <w:ind w:right="53"/>
              <w:rPr>
                <w:rFonts w:cs="Arial"/>
                <w:color w:val="auto"/>
                <w:sz w:val="20"/>
                <w:szCs w:val="20"/>
                <w:lang w:val="es-ES"/>
              </w:rPr>
            </w:pPr>
            <w:r w:rsidRPr="00744841">
              <w:rPr>
                <w:rFonts w:cs="Arial"/>
                <w:color w:val="auto"/>
                <w:sz w:val="20"/>
                <w:szCs w:val="20"/>
                <w:lang w:val="es-ES"/>
              </w:rPr>
              <w:t>Técnico</w:t>
            </w:r>
          </w:p>
          <w:p w14:paraId="07B1C39B" w14:textId="77777777" w:rsidR="003666C5" w:rsidRPr="00744841" w:rsidRDefault="003666C5">
            <w:pPr>
              <w:spacing w:after="0"/>
              <w:ind w:right="53"/>
              <w:rPr>
                <w:rFonts w:cs="Arial"/>
                <w:color w:val="auto"/>
                <w:sz w:val="20"/>
                <w:szCs w:val="20"/>
                <w:lang w:val="es-ES"/>
              </w:rPr>
            </w:pPr>
          </w:p>
          <w:p w14:paraId="498547C2" w14:textId="1DE37E94" w:rsidR="007A638A" w:rsidRPr="00744841" w:rsidRDefault="004848DE" w:rsidP="004848DE">
            <w:pPr>
              <w:spacing w:after="0"/>
              <w:ind w:right="53"/>
              <w:rPr>
                <w:rFonts w:cs="Arial"/>
                <w:color w:val="auto"/>
                <w:sz w:val="20"/>
                <w:szCs w:val="20"/>
                <w:lang w:val="es-ES"/>
              </w:rPr>
            </w:pPr>
            <w:r w:rsidRPr="00744841">
              <w:rPr>
                <w:rFonts w:cs="Arial"/>
                <w:color w:val="auto"/>
                <w:sz w:val="20"/>
                <w:szCs w:val="20"/>
                <w:lang w:val="es-ES"/>
              </w:rPr>
              <w:t>Orientación sobre las consultas con las organizaciones internacionales sobre propuestas de enmienda; definiciones que han aplicarse con respecto a las anotaciones relacionadas con las especies arbóreas y 'reproducidas artificialmente'; el establecimiento de cupos de exportación; identificación y medicina forense para las especies arbóreas; y mejorar la comprensión del público sobre la función de la Convención en la conservación de las especies arbóreas.</w:t>
            </w:r>
          </w:p>
        </w:tc>
      </w:tr>
      <w:tr w:rsidR="00D54A66" w:rsidRPr="00E428FD" w14:paraId="0F28A180" w14:textId="77777777">
        <w:trPr>
          <w:trHeight w:val="513"/>
        </w:trPr>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996E07" w14:textId="6F6440D7" w:rsidR="007A638A" w:rsidRPr="00744841" w:rsidRDefault="004848DE" w:rsidP="00C158D7">
            <w:pPr>
              <w:spacing w:after="0"/>
              <w:jc w:val="left"/>
              <w:rPr>
                <w:rFonts w:cs="Arial"/>
                <w:color w:val="auto"/>
                <w:sz w:val="20"/>
                <w:szCs w:val="20"/>
                <w:lang w:val="es-ES"/>
              </w:rPr>
            </w:pPr>
            <w:r w:rsidRPr="00744841">
              <w:rPr>
                <w:rFonts w:cs="Arial"/>
                <w:color w:val="auto"/>
                <w:sz w:val="20"/>
                <w:szCs w:val="20"/>
                <w:lang w:val="es-ES"/>
              </w:rPr>
              <w:t>Resolución Conf. 11.11 (Rev. CoP18)</w:t>
            </w:r>
            <w:r w:rsidR="007A638A" w:rsidRPr="00744841">
              <w:rPr>
                <w:rFonts w:cs="Arial"/>
                <w:color w:val="auto"/>
                <w:sz w:val="20"/>
                <w:szCs w:val="20"/>
                <w:lang w:val="es-ES"/>
              </w:rPr>
              <w:t xml:space="preserve"> </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EE6B8" w14:textId="567AC1F4" w:rsidR="007A638A" w:rsidRPr="00744841" w:rsidRDefault="004848DE" w:rsidP="004848DE">
            <w:pPr>
              <w:spacing w:after="0"/>
              <w:ind w:left="1"/>
              <w:jc w:val="left"/>
              <w:rPr>
                <w:rFonts w:cs="Arial"/>
                <w:color w:val="auto"/>
                <w:sz w:val="20"/>
                <w:szCs w:val="20"/>
                <w:lang w:val="es-ES"/>
              </w:rPr>
            </w:pPr>
            <w:r w:rsidRPr="00744841">
              <w:rPr>
                <w:rFonts w:cs="Arial"/>
                <w:color w:val="auto"/>
                <w:sz w:val="20"/>
                <w:szCs w:val="20"/>
                <w:lang w:val="es-ES"/>
              </w:rPr>
              <w:t>Reglamentación del comercio de plantas</w:t>
            </w:r>
            <w:r w:rsidR="007A638A" w:rsidRPr="00744841">
              <w:rPr>
                <w:rFonts w:cs="Arial"/>
                <w:color w:val="auto"/>
                <w:sz w:val="20"/>
                <w:szCs w:val="20"/>
                <w:lang w:val="es-ES"/>
              </w:rPr>
              <w:t xml:space="preserve"> </w:t>
            </w:r>
          </w:p>
        </w:tc>
        <w:tc>
          <w:tcPr>
            <w:tcW w:w="3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961787" w14:textId="4F1602CF" w:rsidR="003666C5" w:rsidRPr="00744841" w:rsidRDefault="004848DE" w:rsidP="004848DE">
            <w:pPr>
              <w:spacing w:after="0"/>
              <w:ind w:left="1" w:right="53"/>
              <w:rPr>
                <w:rFonts w:cs="Arial"/>
                <w:color w:val="auto"/>
                <w:sz w:val="20"/>
                <w:szCs w:val="20"/>
                <w:lang w:val="es-ES"/>
              </w:rPr>
            </w:pPr>
            <w:r w:rsidRPr="00744841">
              <w:rPr>
                <w:rFonts w:cs="Arial"/>
                <w:color w:val="auto"/>
                <w:sz w:val="20"/>
                <w:szCs w:val="20"/>
                <w:lang w:val="es-ES"/>
              </w:rPr>
              <w:t>Técnico</w:t>
            </w:r>
          </w:p>
          <w:p w14:paraId="0A4E7165" w14:textId="77777777" w:rsidR="003666C5" w:rsidRPr="00744841" w:rsidRDefault="003666C5">
            <w:pPr>
              <w:spacing w:after="0"/>
              <w:ind w:left="1" w:right="53"/>
              <w:rPr>
                <w:rFonts w:cs="Arial"/>
                <w:color w:val="auto"/>
                <w:sz w:val="20"/>
                <w:szCs w:val="20"/>
                <w:lang w:val="es-ES"/>
              </w:rPr>
            </w:pPr>
          </w:p>
          <w:p w14:paraId="5DDD5592" w14:textId="71062BAB" w:rsidR="007A638A" w:rsidRPr="00744841" w:rsidRDefault="004848DE" w:rsidP="004848DE">
            <w:pPr>
              <w:spacing w:after="0"/>
              <w:ind w:left="1" w:right="53"/>
              <w:rPr>
                <w:rFonts w:cs="Arial"/>
                <w:color w:val="auto"/>
                <w:sz w:val="20"/>
                <w:szCs w:val="20"/>
                <w:lang w:val="es-ES"/>
              </w:rPr>
            </w:pPr>
            <w:r w:rsidRPr="00744841">
              <w:rPr>
                <w:rFonts w:cs="Arial"/>
                <w:color w:val="auto"/>
                <w:sz w:val="20"/>
                <w:szCs w:val="20"/>
                <w:lang w:val="es-ES"/>
              </w:rPr>
              <w:t xml:space="preserve">Orientación sobre la definición de 'reproducido artificialmente'; plantas injertadas; híbridos; cultivares; plántulas en frascos de orquídeas del Apéndice I; la definición de 'planta </w:t>
            </w:r>
            <w:r w:rsidRPr="00744841">
              <w:rPr>
                <w:rFonts w:cs="Arial"/>
                <w:color w:val="auto"/>
                <w:sz w:val="20"/>
                <w:szCs w:val="20"/>
                <w:lang w:val="es-ES"/>
              </w:rPr>
              <w:lastRenderedPageBreak/>
              <w:t>obtenida mediante producción asistida'; especímenes de plantas en el comercio internacional en virtud de exenciones; aplicación de la ley para las plantas; comercio de especímenes de plantas recuperadas; y educación sobre la conservación de plantas a través de la CITES.</w:t>
            </w:r>
          </w:p>
        </w:tc>
      </w:tr>
      <w:tr w:rsidR="00D54A66" w:rsidRPr="00E428FD" w14:paraId="7C6A5CCD" w14:textId="77777777">
        <w:trPr>
          <w:trHeight w:val="505"/>
        </w:trPr>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86EB6" w14:textId="5EC20125" w:rsidR="007A638A" w:rsidRPr="00744841" w:rsidRDefault="004848DE" w:rsidP="00C158D7">
            <w:pPr>
              <w:spacing w:after="0"/>
              <w:jc w:val="left"/>
              <w:rPr>
                <w:rFonts w:cs="Arial"/>
                <w:color w:val="auto"/>
                <w:sz w:val="20"/>
                <w:szCs w:val="20"/>
                <w:lang w:val="es-ES"/>
              </w:rPr>
            </w:pPr>
            <w:r w:rsidRPr="00744841">
              <w:rPr>
                <w:rFonts w:cs="Arial"/>
                <w:color w:val="auto"/>
                <w:sz w:val="20"/>
                <w:szCs w:val="20"/>
                <w:lang w:val="es-ES"/>
              </w:rPr>
              <w:lastRenderedPageBreak/>
              <w:t>Resolución Conf. 12.11 (Rev. CoP19).</w:t>
            </w:r>
            <w:r w:rsidR="007A638A" w:rsidRPr="00744841">
              <w:rPr>
                <w:rFonts w:cs="Arial"/>
                <w:color w:val="auto"/>
                <w:sz w:val="20"/>
                <w:szCs w:val="20"/>
                <w:lang w:val="es-ES"/>
              </w:rPr>
              <w:t xml:space="preserve"> </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C1356" w14:textId="61B5AAAC" w:rsidR="007A638A" w:rsidRPr="00744841" w:rsidRDefault="004848DE" w:rsidP="004848DE">
            <w:pPr>
              <w:spacing w:after="0"/>
              <w:ind w:left="1"/>
              <w:jc w:val="left"/>
              <w:rPr>
                <w:rFonts w:cs="Arial"/>
                <w:color w:val="auto"/>
                <w:sz w:val="20"/>
                <w:szCs w:val="20"/>
                <w:lang w:val="es-ES"/>
              </w:rPr>
            </w:pPr>
            <w:r w:rsidRPr="00744841">
              <w:rPr>
                <w:rFonts w:cs="Arial"/>
                <w:color w:val="auto"/>
                <w:sz w:val="20"/>
                <w:szCs w:val="20"/>
                <w:lang w:val="es-ES"/>
              </w:rPr>
              <w:t>Nomenclatura normalizada</w:t>
            </w:r>
            <w:r w:rsidR="007A638A" w:rsidRPr="00744841">
              <w:rPr>
                <w:rFonts w:cs="Arial"/>
                <w:color w:val="auto"/>
                <w:sz w:val="20"/>
                <w:szCs w:val="20"/>
                <w:lang w:val="es-ES"/>
              </w:rPr>
              <w:t xml:space="preserve"> </w:t>
            </w:r>
          </w:p>
        </w:tc>
        <w:tc>
          <w:tcPr>
            <w:tcW w:w="3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E3E9C" w14:textId="7E7EDADA" w:rsidR="003666C5" w:rsidRPr="00744841" w:rsidRDefault="004848DE" w:rsidP="004848DE">
            <w:pPr>
              <w:spacing w:after="0"/>
              <w:ind w:left="1" w:right="55"/>
              <w:rPr>
                <w:rFonts w:cs="Arial"/>
                <w:color w:val="auto"/>
                <w:sz w:val="20"/>
                <w:szCs w:val="20"/>
                <w:lang w:val="es-ES"/>
              </w:rPr>
            </w:pPr>
            <w:r w:rsidRPr="00744841">
              <w:rPr>
                <w:rFonts w:cs="Arial"/>
                <w:color w:val="auto"/>
                <w:sz w:val="20"/>
                <w:szCs w:val="20"/>
                <w:lang w:val="es-ES"/>
              </w:rPr>
              <w:t>Técnico</w:t>
            </w:r>
          </w:p>
          <w:p w14:paraId="72129C03" w14:textId="77777777" w:rsidR="003666C5" w:rsidRPr="00744841" w:rsidRDefault="003666C5">
            <w:pPr>
              <w:spacing w:after="0"/>
              <w:ind w:left="1" w:right="55"/>
              <w:rPr>
                <w:rFonts w:cs="Arial"/>
                <w:color w:val="auto"/>
                <w:sz w:val="20"/>
                <w:szCs w:val="20"/>
                <w:lang w:val="es-ES"/>
              </w:rPr>
            </w:pPr>
          </w:p>
          <w:p w14:paraId="02511A4B" w14:textId="7EBD6B94" w:rsidR="007A638A" w:rsidRPr="00744841" w:rsidRDefault="004C1EC1" w:rsidP="004848DE">
            <w:pPr>
              <w:spacing w:after="0"/>
              <w:ind w:left="1" w:right="55"/>
              <w:rPr>
                <w:rFonts w:cs="Arial"/>
                <w:color w:val="auto"/>
                <w:sz w:val="20"/>
                <w:szCs w:val="20"/>
                <w:lang w:val="es-ES"/>
              </w:rPr>
            </w:pPr>
            <w:r w:rsidRPr="00744841">
              <w:rPr>
                <w:rFonts w:cs="Arial"/>
                <w:color w:val="auto"/>
                <w:sz w:val="20"/>
                <w:szCs w:val="20"/>
                <w:lang w:val="es-ES"/>
              </w:rPr>
              <w:t>Orientación sobre cuestiones de nomenclatura, inclusive una lista de referencias normalizadas adoptadas por la Conferencia de las Partes. Es importante llegar a una comprensión común de los nombres científicos de las especies para garantizar que las autoridades CITES compartan un corpus común de conocimientos que sirva de base para los Dictámenes de extracción no perjudicial, los procesos de concesión de permisos y la aplicación de las especies arbóreas incluidas en los Apéndices de la CITES. Cabe señalar que las referencias o listas de control normalizadas de la CITES no pretenden seguir el ritmo de cada nuevo estudio o tratamiento taxonómico, excepto cuando pueda afectar a la aplicación de la CITES</w:t>
            </w:r>
          </w:p>
        </w:tc>
      </w:tr>
      <w:tr w:rsidR="00D54A66" w:rsidRPr="00E428FD" w14:paraId="7004F664" w14:textId="77777777">
        <w:trPr>
          <w:trHeight w:val="701"/>
        </w:trPr>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70F1A" w14:textId="532E8E52" w:rsidR="007A638A" w:rsidRPr="00744841" w:rsidRDefault="00932E6F" w:rsidP="00C158D7">
            <w:pPr>
              <w:spacing w:after="0"/>
              <w:jc w:val="left"/>
              <w:rPr>
                <w:rFonts w:cs="Arial"/>
                <w:color w:val="auto"/>
                <w:sz w:val="20"/>
                <w:szCs w:val="20"/>
                <w:lang w:val="es-ES"/>
              </w:rPr>
            </w:pPr>
            <w:r w:rsidRPr="00744841">
              <w:rPr>
                <w:rFonts w:cs="Arial"/>
                <w:color w:val="auto"/>
                <w:sz w:val="20"/>
                <w:szCs w:val="20"/>
                <w:lang w:val="es-ES"/>
              </w:rPr>
              <w:t>Resolución Conf. 14.4</w:t>
            </w:r>
            <w:r w:rsidR="007A638A" w:rsidRPr="00744841">
              <w:rPr>
                <w:rFonts w:cs="Arial"/>
                <w:color w:val="auto"/>
                <w:sz w:val="20"/>
                <w:szCs w:val="20"/>
                <w:lang w:val="es-ES"/>
              </w:rPr>
              <w:t xml:space="preserve"> </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B0EC5" w14:textId="05884F79" w:rsidR="007A638A" w:rsidRPr="00744841" w:rsidRDefault="00932E6F" w:rsidP="00932E6F">
            <w:pPr>
              <w:spacing w:after="0"/>
              <w:ind w:left="1" w:right="56"/>
              <w:rPr>
                <w:rFonts w:cs="Arial"/>
                <w:color w:val="auto"/>
                <w:sz w:val="20"/>
                <w:szCs w:val="20"/>
                <w:lang w:val="es-ES"/>
              </w:rPr>
            </w:pPr>
            <w:r w:rsidRPr="00744841">
              <w:rPr>
                <w:rFonts w:cs="Arial"/>
                <w:color w:val="auto"/>
                <w:sz w:val="20"/>
                <w:szCs w:val="20"/>
                <w:lang w:val="es-ES"/>
              </w:rPr>
              <w:t>Cooperación entre la CITES y la OIMT en relación con el comercio de madera tropical</w:t>
            </w:r>
            <w:r w:rsidR="007A638A" w:rsidRPr="00744841">
              <w:rPr>
                <w:rFonts w:cs="Arial"/>
                <w:color w:val="auto"/>
                <w:sz w:val="20"/>
                <w:szCs w:val="20"/>
                <w:lang w:val="es-ES"/>
              </w:rPr>
              <w:t xml:space="preserve"> </w:t>
            </w:r>
          </w:p>
        </w:tc>
        <w:tc>
          <w:tcPr>
            <w:tcW w:w="3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78C19" w14:textId="12768A61" w:rsidR="003666C5" w:rsidRPr="00744841" w:rsidRDefault="00932E6F" w:rsidP="00932E6F">
            <w:pPr>
              <w:spacing w:after="0"/>
              <w:ind w:left="1"/>
              <w:rPr>
                <w:rFonts w:cs="Arial"/>
                <w:color w:val="auto"/>
                <w:sz w:val="20"/>
                <w:szCs w:val="20"/>
                <w:lang w:val="es-ES"/>
              </w:rPr>
            </w:pPr>
            <w:r w:rsidRPr="00744841">
              <w:rPr>
                <w:rFonts w:cs="Arial"/>
                <w:color w:val="auto"/>
                <w:sz w:val="20"/>
                <w:szCs w:val="20"/>
                <w:lang w:val="es-ES"/>
              </w:rPr>
              <w:t>Estratégico</w:t>
            </w:r>
          </w:p>
          <w:p w14:paraId="18FE780F" w14:textId="77777777" w:rsidR="003666C5" w:rsidRPr="00744841" w:rsidRDefault="003666C5">
            <w:pPr>
              <w:spacing w:after="0"/>
              <w:ind w:left="1"/>
              <w:rPr>
                <w:rFonts w:cs="Arial"/>
                <w:color w:val="auto"/>
                <w:sz w:val="20"/>
                <w:szCs w:val="20"/>
                <w:lang w:val="es-ES"/>
              </w:rPr>
            </w:pPr>
          </w:p>
          <w:p w14:paraId="5C0CBEEA" w14:textId="45D649D8" w:rsidR="007A638A" w:rsidRPr="00744841" w:rsidRDefault="00932E6F" w:rsidP="00932E6F">
            <w:pPr>
              <w:spacing w:after="0"/>
              <w:ind w:left="1"/>
              <w:rPr>
                <w:rFonts w:cs="Arial"/>
                <w:color w:val="auto"/>
                <w:sz w:val="20"/>
                <w:szCs w:val="20"/>
                <w:lang w:val="es-ES"/>
              </w:rPr>
            </w:pPr>
            <w:r w:rsidRPr="00744841">
              <w:rPr>
                <w:rFonts w:cs="Arial"/>
                <w:color w:val="auto"/>
                <w:sz w:val="20"/>
                <w:szCs w:val="20"/>
                <w:lang w:val="es-ES"/>
              </w:rPr>
              <w:t>Orientación acerca de las consultas con la OIMT sobre las propuestas de enmienda; y otras cuestiones relativas a la cooperación con la OIMT en relación con las especies de madera tropical amenazadas por el comercio internacional y la gestión sostenible de bosques que producen madera tropical.</w:t>
            </w:r>
          </w:p>
        </w:tc>
      </w:tr>
      <w:tr w:rsidR="00D54A66" w:rsidRPr="00E428FD" w14:paraId="40BB68DE" w14:textId="77777777">
        <w:trPr>
          <w:trHeight w:val="505"/>
        </w:trPr>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D3CF0" w14:textId="04275388" w:rsidR="007A638A" w:rsidRPr="00744841" w:rsidRDefault="00932E6F" w:rsidP="00C158D7">
            <w:pPr>
              <w:spacing w:after="0"/>
              <w:jc w:val="left"/>
              <w:rPr>
                <w:rFonts w:cs="Arial"/>
                <w:color w:val="auto"/>
                <w:sz w:val="20"/>
                <w:szCs w:val="20"/>
                <w:lang w:val="es-ES"/>
              </w:rPr>
            </w:pPr>
            <w:r w:rsidRPr="00744841">
              <w:rPr>
                <w:rFonts w:cs="Arial"/>
                <w:color w:val="auto"/>
                <w:sz w:val="20"/>
                <w:szCs w:val="20"/>
                <w:lang w:val="es-ES"/>
              </w:rPr>
              <w:t>Resolución Conf. 16.10</w:t>
            </w:r>
            <w:r w:rsidR="007A638A" w:rsidRPr="00744841">
              <w:rPr>
                <w:rFonts w:cs="Arial"/>
                <w:color w:val="auto"/>
                <w:sz w:val="20"/>
                <w:szCs w:val="20"/>
                <w:lang w:val="es-ES"/>
              </w:rPr>
              <w:t xml:space="preserve"> </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C7782A" w14:textId="528B0AF5" w:rsidR="007A638A" w:rsidRPr="00744841" w:rsidRDefault="00932E6F" w:rsidP="00932E6F">
            <w:pPr>
              <w:spacing w:after="0"/>
              <w:ind w:left="1"/>
              <w:rPr>
                <w:rFonts w:cs="Arial"/>
                <w:color w:val="auto"/>
                <w:sz w:val="20"/>
                <w:szCs w:val="20"/>
                <w:lang w:val="es-ES"/>
              </w:rPr>
            </w:pPr>
            <w:r w:rsidRPr="00744841">
              <w:rPr>
                <w:rFonts w:cs="Arial"/>
                <w:color w:val="auto"/>
                <w:sz w:val="20"/>
                <w:szCs w:val="20"/>
                <w:lang w:val="es-ES"/>
              </w:rPr>
              <w:t xml:space="preserve">Aplicación de la Convención a los </w:t>
            </w:r>
            <w:proofErr w:type="spellStart"/>
            <w:r w:rsidRPr="00744841">
              <w:rPr>
                <w:rFonts w:cs="Arial"/>
                <w:color w:val="auto"/>
                <w:sz w:val="20"/>
                <w:szCs w:val="20"/>
                <w:lang w:val="es-ES"/>
              </w:rPr>
              <w:t>taxa</w:t>
            </w:r>
            <w:proofErr w:type="spellEnd"/>
            <w:r w:rsidRPr="00744841">
              <w:rPr>
                <w:rFonts w:cs="Arial"/>
                <w:color w:val="auto"/>
                <w:sz w:val="20"/>
                <w:szCs w:val="20"/>
                <w:lang w:val="es-ES"/>
              </w:rPr>
              <w:t xml:space="preserve"> que producen madera de agar</w:t>
            </w:r>
            <w:r w:rsidR="007A638A" w:rsidRPr="00744841">
              <w:rPr>
                <w:rFonts w:cs="Arial"/>
                <w:color w:val="auto"/>
                <w:sz w:val="20"/>
                <w:szCs w:val="20"/>
                <w:lang w:val="es-ES"/>
              </w:rPr>
              <w:t xml:space="preserve"> </w:t>
            </w:r>
          </w:p>
        </w:tc>
        <w:tc>
          <w:tcPr>
            <w:tcW w:w="3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16BD0" w14:textId="4D6E735E" w:rsidR="003666C5" w:rsidRPr="00744841" w:rsidRDefault="00932E6F" w:rsidP="00932E6F">
            <w:pPr>
              <w:spacing w:after="0"/>
              <w:ind w:left="1" w:right="53"/>
              <w:rPr>
                <w:rFonts w:cs="Arial"/>
                <w:color w:val="auto"/>
                <w:sz w:val="20"/>
                <w:szCs w:val="20"/>
                <w:lang w:val="es-ES"/>
              </w:rPr>
            </w:pPr>
            <w:r w:rsidRPr="00744841">
              <w:rPr>
                <w:rFonts w:cs="Arial"/>
                <w:color w:val="auto"/>
                <w:sz w:val="20"/>
                <w:szCs w:val="20"/>
                <w:lang w:val="es-ES"/>
              </w:rPr>
              <w:t>Técnico</w:t>
            </w:r>
          </w:p>
          <w:p w14:paraId="7715E5B8" w14:textId="77777777" w:rsidR="003666C5" w:rsidRPr="00744841" w:rsidRDefault="003666C5">
            <w:pPr>
              <w:spacing w:after="0"/>
              <w:ind w:left="1" w:right="53"/>
              <w:rPr>
                <w:rFonts w:cs="Arial"/>
                <w:color w:val="auto"/>
                <w:sz w:val="20"/>
                <w:szCs w:val="20"/>
                <w:lang w:val="es-ES"/>
              </w:rPr>
            </w:pPr>
          </w:p>
          <w:p w14:paraId="6CDBA0F9" w14:textId="424E0C0C" w:rsidR="007A638A" w:rsidRPr="00744841" w:rsidRDefault="00932E6F" w:rsidP="00932E6F">
            <w:pPr>
              <w:spacing w:after="0"/>
              <w:ind w:left="1" w:right="53"/>
              <w:rPr>
                <w:rFonts w:cs="Arial"/>
                <w:color w:val="auto"/>
                <w:sz w:val="20"/>
                <w:szCs w:val="20"/>
                <w:lang w:val="es-ES"/>
              </w:rPr>
            </w:pPr>
            <w:r w:rsidRPr="00744841">
              <w:rPr>
                <w:rFonts w:cs="Arial"/>
                <w:color w:val="auto"/>
                <w:sz w:val="20"/>
                <w:szCs w:val="20"/>
                <w:lang w:val="es-ES"/>
              </w:rPr>
              <w:t xml:space="preserve">Orientación sobre especímenes reproducidos artificialmente para los </w:t>
            </w:r>
            <w:proofErr w:type="spellStart"/>
            <w:r w:rsidRPr="00744841">
              <w:rPr>
                <w:rFonts w:cs="Arial"/>
                <w:color w:val="auto"/>
                <w:sz w:val="20"/>
                <w:szCs w:val="20"/>
                <w:lang w:val="es-ES"/>
              </w:rPr>
              <w:t>taxa</w:t>
            </w:r>
            <w:proofErr w:type="spellEnd"/>
            <w:r w:rsidRPr="00744841">
              <w:rPr>
                <w:rFonts w:cs="Arial"/>
                <w:color w:val="auto"/>
                <w:sz w:val="20"/>
                <w:szCs w:val="20"/>
                <w:lang w:val="es-ES"/>
              </w:rPr>
              <w:t xml:space="preserve"> que producen madera de agar, dictámenes de extracción no perjudicial y gestión y controles del comercio.</w:t>
            </w:r>
          </w:p>
        </w:tc>
      </w:tr>
      <w:tr w:rsidR="00D54A66" w:rsidRPr="00E428FD" w14:paraId="4C082C13" w14:textId="77777777">
        <w:trPr>
          <w:trHeight w:val="222"/>
        </w:trPr>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B2E297" w14:textId="300A0E60" w:rsidR="007A638A" w:rsidRPr="00744841" w:rsidRDefault="00932E6F" w:rsidP="00C158D7">
            <w:pPr>
              <w:spacing w:after="0"/>
              <w:jc w:val="left"/>
              <w:rPr>
                <w:rFonts w:cs="Arial"/>
                <w:color w:val="auto"/>
                <w:sz w:val="20"/>
                <w:szCs w:val="20"/>
                <w:lang w:val="es-ES"/>
              </w:rPr>
            </w:pPr>
            <w:r w:rsidRPr="00744841">
              <w:rPr>
                <w:rFonts w:cs="Arial"/>
                <w:color w:val="auto"/>
                <w:sz w:val="20"/>
                <w:szCs w:val="20"/>
                <w:lang w:val="es-ES"/>
              </w:rPr>
              <w:t>Resolución Conf. 16.4</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BA1CF" w14:textId="203D0EBE" w:rsidR="007A638A" w:rsidRPr="00744841" w:rsidRDefault="00932E6F" w:rsidP="00932E6F">
            <w:pPr>
              <w:spacing w:after="0"/>
              <w:jc w:val="left"/>
              <w:rPr>
                <w:rFonts w:cs="Arial"/>
                <w:color w:val="auto"/>
                <w:sz w:val="20"/>
                <w:szCs w:val="20"/>
                <w:lang w:val="es-ES"/>
              </w:rPr>
            </w:pPr>
            <w:r w:rsidRPr="00744841">
              <w:rPr>
                <w:rFonts w:cs="Arial"/>
                <w:color w:val="auto"/>
                <w:sz w:val="20"/>
                <w:szCs w:val="20"/>
                <w:lang w:val="es-ES"/>
              </w:rPr>
              <w:t>Cooperación de la CITES con otras convenciones relacionadas con la diversidad biológica</w:t>
            </w:r>
          </w:p>
        </w:tc>
        <w:tc>
          <w:tcPr>
            <w:tcW w:w="3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074F6" w14:textId="30CF546B" w:rsidR="003666C5" w:rsidRPr="00744841" w:rsidRDefault="00932E6F" w:rsidP="00932E6F">
            <w:pPr>
              <w:spacing w:after="21"/>
              <w:jc w:val="left"/>
              <w:rPr>
                <w:rFonts w:cs="Arial"/>
                <w:color w:val="auto"/>
                <w:sz w:val="20"/>
                <w:szCs w:val="20"/>
                <w:lang w:val="es-ES"/>
              </w:rPr>
            </w:pPr>
            <w:r w:rsidRPr="00744841">
              <w:rPr>
                <w:rFonts w:cs="Arial"/>
                <w:color w:val="auto"/>
                <w:sz w:val="20"/>
                <w:szCs w:val="20"/>
                <w:lang w:val="es-ES"/>
              </w:rPr>
              <w:t>Estratégico</w:t>
            </w:r>
          </w:p>
          <w:p w14:paraId="7B85EE82" w14:textId="77777777" w:rsidR="003666C5" w:rsidRPr="00744841" w:rsidRDefault="003666C5">
            <w:pPr>
              <w:spacing w:after="21"/>
              <w:jc w:val="left"/>
              <w:rPr>
                <w:rFonts w:cs="Arial"/>
                <w:color w:val="auto"/>
                <w:sz w:val="20"/>
                <w:szCs w:val="20"/>
                <w:lang w:val="es-ES"/>
              </w:rPr>
            </w:pPr>
          </w:p>
          <w:p w14:paraId="671FDA57" w14:textId="5062E015" w:rsidR="007A638A" w:rsidRPr="00744841" w:rsidRDefault="00932E6F" w:rsidP="00932E6F">
            <w:pPr>
              <w:spacing w:after="21"/>
              <w:jc w:val="left"/>
              <w:rPr>
                <w:rFonts w:cs="Arial"/>
                <w:color w:val="auto"/>
                <w:sz w:val="20"/>
                <w:szCs w:val="20"/>
                <w:lang w:val="es-ES"/>
              </w:rPr>
            </w:pPr>
            <w:r w:rsidRPr="00744841">
              <w:rPr>
                <w:rFonts w:cs="Arial"/>
                <w:color w:val="auto"/>
                <w:sz w:val="20"/>
                <w:szCs w:val="20"/>
                <w:lang w:val="es-ES"/>
              </w:rPr>
              <w:t>Orientación sobre el fortalecimiento de la cooperación, coordinación y las sinergias entre las convenciones relacionadas con la diversidad biológica a todos los niveles pertinentes.</w:t>
            </w:r>
          </w:p>
        </w:tc>
      </w:tr>
      <w:tr w:rsidR="00D54A66" w:rsidRPr="00E428FD" w14:paraId="59D7CAF8" w14:textId="77777777">
        <w:trPr>
          <w:trHeight w:val="653"/>
        </w:trPr>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FA107" w14:textId="46B3ACBE" w:rsidR="00D5598F" w:rsidRPr="00744841" w:rsidRDefault="00D5598F" w:rsidP="00D5598F">
            <w:pPr>
              <w:spacing w:after="0"/>
              <w:jc w:val="left"/>
              <w:rPr>
                <w:rFonts w:cs="Arial"/>
                <w:color w:val="auto"/>
                <w:sz w:val="20"/>
                <w:szCs w:val="20"/>
                <w:lang w:val="es-ES"/>
              </w:rPr>
            </w:pPr>
            <w:r w:rsidRPr="00744841">
              <w:rPr>
                <w:rFonts w:cs="Arial"/>
                <w:color w:val="auto"/>
                <w:sz w:val="20"/>
                <w:szCs w:val="20"/>
                <w:lang w:val="es-ES"/>
              </w:rPr>
              <w:t xml:space="preserve">Resolución Conf. 16.5 </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FA013" w14:textId="2E95B5EB" w:rsidR="00D5598F" w:rsidRPr="00744841" w:rsidRDefault="00D5598F" w:rsidP="00D5598F">
            <w:pPr>
              <w:spacing w:after="0"/>
              <w:jc w:val="left"/>
              <w:rPr>
                <w:rFonts w:cs="Arial"/>
                <w:color w:val="auto"/>
                <w:sz w:val="20"/>
                <w:szCs w:val="20"/>
                <w:lang w:val="es-ES"/>
              </w:rPr>
            </w:pPr>
            <w:r w:rsidRPr="00744841">
              <w:rPr>
                <w:rFonts w:cs="Arial"/>
                <w:color w:val="auto"/>
                <w:sz w:val="20"/>
                <w:szCs w:val="20"/>
                <w:lang w:val="es-ES"/>
              </w:rPr>
              <w:t xml:space="preserve">Cooperación con la Estrategia Mundial para la Conservación de las especies vegetales del Convenio sobre la Diversidad Biológica  </w:t>
            </w:r>
          </w:p>
        </w:tc>
        <w:tc>
          <w:tcPr>
            <w:tcW w:w="3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81B1D" w14:textId="77777777" w:rsidR="00D5598F" w:rsidRPr="00744841" w:rsidRDefault="00D5598F" w:rsidP="00D5598F">
            <w:pPr>
              <w:spacing w:after="0" w:line="259" w:lineRule="auto"/>
              <w:ind w:right="53"/>
              <w:rPr>
                <w:rFonts w:cs="Arial"/>
                <w:color w:val="auto"/>
                <w:sz w:val="20"/>
                <w:szCs w:val="20"/>
                <w:lang w:val="es-ES"/>
              </w:rPr>
            </w:pPr>
            <w:r w:rsidRPr="00744841">
              <w:rPr>
                <w:rFonts w:cs="Arial"/>
                <w:color w:val="auto"/>
                <w:sz w:val="20"/>
                <w:szCs w:val="20"/>
                <w:lang w:val="es-ES"/>
              </w:rPr>
              <w:t>Estratégico</w:t>
            </w:r>
          </w:p>
          <w:p w14:paraId="01A509B2" w14:textId="77777777" w:rsidR="00D5598F" w:rsidRPr="00744841" w:rsidRDefault="00D5598F" w:rsidP="00D5598F">
            <w:pPr>
              <w:pStyle w:val="NoSpacing"/>
              <w:rPr>
                <w:rFonts w:cs="Arial"/>
                <w:color w:val="auto"/>
                <w:sz w:val="20"/>
                <w:szCs w:val="20"/>
                <w:lang w:val="es-ES"/>
              </w:rPr>
            </w:pPr>
          </w:p>
          <w:p w14:paraId="2356F3E8" w14:textId="3371A331" w:rsidR="00D5598F" w:rsidRPr="00744841" w:rsidRDefault="00D5598F" w:rsidP="00D5598F">
            <w:pPr>
              <w:spacing w:after="0"/>
              <w:ind w:right="53"/>
              <w:rPr>
                <w:rFonts w:cs="Arial"/>
                <w:color w:val="auto"/>
                <w:sz w:val="20"/>
                <w:szCs w:val="20"/>
                <w:lang w:val="es-ES"/>
              </w:rPr>
            </w:pPr>
            <w:r w:rsidRPr="00744841">
              <w:rPr>
                <w:rFonts w:cs="Arial"/>
                <w:color w:val="auto"/>
                <w:sz w:val="20"/>
                <w:szCs w:val="20"/>
                <w:lang w:val="es-ES"/>
              </w:rPr>
              <w:t xml:space="preserve">Orientación sobre la posible contribución de la CITES a los objetivos y las metas de la Estrategia Mundial para la Conservación de las especies vegetales 2011-2020 mediante </w:t>
            </w:r>
            <w:r w:rsidRPr="00744841">
              <w:rPr>
                <w:rFonts w:cs="Arial"/>
                <w:color w:val="auto"/>
                <w:sz w:val="20"/>
                <w:szCs w:val="20"/>
                <w:lang w:val="es-ES"/>
              </w:rPr>
              <w:lastRenderedPageBreak/>
              <w:t>actividades y productos enumerados en un Anexo a la resolución.</w:t>
            </w:r>
          </w:p>
        </w:tc>
      </w:tr>
      <w:tr w:rsidR="00D54A66" w:rsidRPr="00E428FD" w14:paraId="3C290C42" w14:textId="77777777">
        <w:trPr>
          <w:trHeight w:val="804"/>
        </w:trPr>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927511" w14:textId="26DF295E" w:rsidR="007A638A" w:rsidRPr="00744841" w:rsidRDefault="00641263" w:rsidP="00C158D7">
            <w:pPr>
              <w:spacing w:after="0"/>
              <w:jc w:val="left"/>
              <w:rPr>
                <w:rFonts w:cs="Arial"/>
                <w:color w:val="auto"/>
                <w:sz w:val="20"/>
                <w:szCs w:val="20"/>
                <w:lang w:val="es-ES"/>
              </w:rPr>
            </w:pPr>
            <w:r w:rsidRPr="00744841">
              <w:rPr>
                <w:rFonts w:cs="Arial"/>
                <w:color w:val="auto"/>
                <w:sz w:val="20"/>
                <w:szCs w:val="20"/>
                <w:lang w:val="es-ES"/>
              </w:rPr>
              <w:lastRenderedPageBreak/>
              <w:t>Resolución Conf. 16.6 (Rev. CoP18)</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1F95E" w14:textId="2609D3CE" w:rsidR="007A638A" w:rsidRPr="00744841" w:rsidRDefault="00641263" w:rsidP="00641263">
            <w:pPr>
              <w:spacing w:after="0"/>
              <w:ind w:left="1" w:right="54"/>
              <w:rPr>
                <w:rFonts w:cs="Arial"/>
                <w:color w:val="auto"/>
                <w:sz w:val="20"/>
                <w:szCs w:val="20"/>
                <w:lang w:val="es-ES"/>
              </w:rPr>
            </w:pPr>
            <w:r w:rsidRPr="00744841">
              <w:rPr>
                <w:rFonts w:cs="Arial"/>
                <w:color w:val="auto"/>
                <w:sz w:val="20"/>
                <w:szCs w:val="20"/>
                <w:lang w:val="es-ES"/>
              </w:rPr>
              <w:t>La CITES y los medios de subsistencia</w:t>
            </w:r>
          </w:p>
        </w:tc>
        <w:tc>
          <w:tcPr>
            <w:tcW w:w="3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09D43C" w14:textId="1F2D508C" w:rsidR="003666C5" w:rsidRPr="00744841" w:rsidRDefault="00641263" w:rsidP="00641263">
            <w:pPr>
              <w:spacing w:after="0"/>
              <w:ind w:left="1"/>
              <w:jc w:val="left"/>
              <w:rPr>
                <w:rFonts w:cs="Arial"/>
                <w:color w:val="auto"/>
                <w:sz w:val="20"/>
                <w:szCs w:val="20"/>
                <w:lang w:val="es-ES"/>
              </w:rPr>
            </w:pPr>
            <w:r w:rsidRPr="00744841">
              <w:rPr>
                <w:rFonts w:cs="Arial"/>
                <w:color w:val="auto"/>
                <w:sz w:val="20"/>
                <w:szCs w:val="20"/>
                <w:lang w:val="es-ES"/>
              </w:rPr>
              <w:t>Técnico y/o estratégico</w:t>
            </w:r>
          </w:p>
          <w:p w14:paraId="7EED1EED" w14:textId="77777777" w:rsidR="003666C5" w:rsidRPr="00744841" w:rsidRDefault="003666C5">
            <w:pPr>
              <w:spacing w:after="0"/>
              <w:ind w:left="1"/>
              <w:jc w:val="left"/>
              <w:rPr>
                <w:rFonts w:cs="Arial"/>
                <w:color w:val="auto"/>
                <w:sz w:val="20"/>
                <w:szCs w:val="20"/>
                <w:lang w:val="es-ES"/>
              </w:rPr>
            </w:pPr>
          </w:p>
          <w:p w14:paraId="7D298039" w14:textId="4D27762A" w:rsidR="007A638A" w:rsidRPr="00744841" w:rsidRDefault="00641263" w:rsidP="00641263">
            <w:pPr>
              <w:spacing w:after="0"/>
              <w:ind w:left="1"/>
              <w:jc w:val="left"/>
              <w:rPr>
                <w:rFonts w:cs="Arial"/>
                <w:color w:val="auto"/>
                <w:sz w:val="20"/>
                <w:szCs w:val="20"/>
                <w:lang w:val="es-ES"/>
              </w:rPr>
            </w:pPr>
            <w:r w:rsidRPr="00744841">
              <w:rPr>
                <w:rFonts w:cs="Arial"/>
                <w:color w:val="auto"/>
                <w:sz w:val="20"/>
                <w:szCs w:val="20"/>
                <w:lang w:val="es-ES"/>
              </w:rPr>
              <w:t xml:space="preserve">Orientación sobre temas relacionados con los medios de subsistencia, inclusive el empoderamiento de las comunidades rurales; políticas habilitantes; participación de las comunidades rurales en la lucha contra el comercio ilegal de vida silvestre; y posible cambio de la producción </w:t>
            </w:r>
            <w:r w:rsidRPr="00744841">
              <w:rPr>
                <w:rFonts w:cs="Arial"/>
                <w:i/>
                <w:color w:val="auto"/>
                <w:sz w:val="20"/>
                <w:szCs w:val="20"/>
                <w:lang w:val="es-ES"/>
              </w:rPr>
              <w:t>in situ</w:t>
            </w:r>
            <w:r w:rsidRPr="00744841">
              <w:rPr>
                <w:rFonts w:cs="Arial"/>
                <w:color w:val="auto"/>
                <w:sz w:val="20"/>
                <w:szCs w:val="20"/>
                <w:lang w:val="es-ES"/>
              </w:rPr>
              <w:t xml:space="preserve"> a </w:t>
            </w:r>
            <w:r w:rsidRPr="00744841">
              <w:rPr>
                <w:rFonts w:cs="Arial"/>
                <w:i/>
                <w:color w:val="auto"/>
                <w:sz w:val="20"/>
                <w:szCs w:val="20"/>
                <w:lang w:val="es-ES"/>
              </w:rPr>
              <w:t>ex situ</w:t>
            </w:r>
            <w:r w:rsidRPr="00744841">
              <w:rPr>
                <w:rFonts w:cs="Arial"/>
                <w:color w:val="auto"/>
                <w:sz w:val="20"/>
                <w:szCs w:val="20"/>
                <w:lang w:val="es-ES"/>
              </w:rPr>
              <w:t xml:space="preserve"> debido a la inclusión de especies en los Apéndices de la CITES.</w:t>
            </w:r>
          </w:p>
        </w:tc>
      </w:tr>
      <w:tr w:rsidR="00D54A66" w:rsidRPr="00E428FD" w14:paraId="2B9B2EB0" w14:textId="77777777">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81C11" w14:textId="2AF3D362" w:rsidR="007A638A" w:rsidRPr="00744841" w:rsidRDefault="00641263" w:rsidP="00C158D7">
            <w:pPr>
              <w:spacing w:after="0"/>
              <w:jc w:val="left"/>
              <w:rPr>
                <w:rFonts w:cs="Arial"/>
                <w:color w:val="auto"/>
                <w:sz w:val="20"/>
                <w:szCs w:val="20"/>
                <w:lang w:val="es-ES"/>
              </w:rPr>
            </w:pPr>
            <w:r w:rsidRPr="00744841">
              <w:rPr>
                <w:rFonts w:cs="Arial"/>
                <w:color w:val="auto"/>
                <w:sz w:val="20"/>
                <w:szCs w:val="20"/>
                <w:lang w:val="es-ES"/>
              </w:rPr>
              <w:t>Resolución Conf. 16.7 (Rev. CoP17)</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974B8" w14:textId="7501157A" w:rsidR="007A638A" w:rsidRPr="00744841" w:rsidRDefault="0003135E">
            <w:pPr>
              <w:spacing w:after="0"/>
              <w:ind w:left="1" w:right="54"/>
              <w:rPr>
                <w:rFonts w:cs="Arial"/>
                <w:color w:val="auto"/>
                <w:sz w:val="20"/>
                <w:szCs w:val="20"/>
                <w:lang w:val="es-ES"/>
              </w:rPr>
            </w:pPr>
            <w:r w:rsidRPr="00744841">
              <w:rPr>
                <w:rFonts w:cs="Arial"/>
                <w:color w:val="auto"/>
                <w:sz w:val="20"/>
                <w:szCs w:val="20"/>
                <w:lang w:val="es-ES"/>
              </w:rPr>
              <w:t>Dictámenes de extracción no perjudicial</w:t>
            </w:r>
          </w:p>
        </w:tc>
        <w:tc>
          <w:tcPr>
            <w:tcW w:w="3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E1844" w14:textId="56450C68" w:rsidR="003666C5" w:rsidRPr="00744841" w:rsidRDefault="00641263" w:rsidP="00641263">
            <w:pPr>
              <w:spacing w:after="0"/>
              <w:ind w:left="1"/>
              <w:jc w:val="left"/>
              <w:rPr>
                <w:rFonts w:cs="Arial"/>
                <w:color w:val="auto"/>
                <w:sz w:val="20"/>
                <w:szCs w:val="20"/>
                <w:lang w:val="es-ES"/>
              </w:rPr>
            </w:pPr>
            <w:r w:rsidRPr="00744841">
              <w:rPr>
                <w:rFonts w:cs="Arial"/>
                <w:color w:val="auto"/>
                <w:sz w:val="20"/>
                <w:szCs w:val="20"/>
                <w:lang w:val="es-ES"/>
              </w:rPr>
              <w:t>Técnico</w:t>
            </w:r>
          </w:p>
          <w:p w14:paraId="5D0B9616" w14:textId="77777777" w:rsidR="003666C5" w:rsidRPr="00744841" w:rsidRDefault="003666C5">
            <w:pPr>
              <w:spacing w:after="0"/>
              <w:ind w:left="1"/>
              <w:jc w:val="left"/>
              <w:rPr>
                <w:rFonts w:cs="Arial"/>
                <w:color w:val="auto"/>
                <w:sz w:val="20"/>
                <w:szCs w:val="20"/>
                <w:lang w:val="es-ES"/>
              </w:rPr>
            </w:pPr>
          </w:p>
          <w:p w14:paraId="648DB665" w14:textId="04E3769B" w:rsidR="007A638A" w:rsidRPr="00744841" w:rsidRDefault="00641263" w:rsidP="00641263">
            <w:pPr>
              <w:spacing w:after="0"/>
              <w:ind w:left="1"/>
              <w:jc w:val="left"/>
              <w:rPr>
                <w:rFonts w:cs="Arial"/>
                <w:color w:val="auto"/>
                <w:sz w:val="20"/>
                <w:szCs w:val="20"/>
                <w:lang w:val="es-ES"/>
              </w:rPr>
            </w:pPr>
            <w:r w:rsidRPr="00744841">
              <w:rPr>
                <w:rFonts w:cs="Arial"/>
                <w:color w:val="auto"/>
                <w:sz w:val="20"/>
                <w:szCs w:val="20"/>
                <w:lang w:val="es-ES"/>
              </w:rPr>
              <w:t xml:space="preserve">La Resolución incluye orientaciones relativas a los conceptos y los principios no vinculantes que deben tener en cuenta las Autoridades Científicas a la hora de considerar si el comercio </w:t>
            </w:r>
            <w:proofErr w:type="gramStart"/>
            <w:r w:rsidRPr="00744841">
              <w:rPr>
                <w:rFonts w:cs="Arial"/>
                <w:color w:val="auto"/>
                <w:sz w:val="20"/>
                <w:szCs w:val="20"/>
                <w:lang w:val="es-ES"/>
              </w:rPr>
              <w:t>sería</w:t>
            </w:r>
            <w:proofErr w:type="gramEnd"/>
            <w:r w:rsidRPr="00744841">
              <w:rPr>
                <w:rFonts w:cs="Arial"/>
                <w:color w:val="auto"/>
                <w:sz w:val="20"/>
                <w:szCs w:val="20"/>
                <w:lang w:val="es-ES"/>
              </w:rPr>
              <w:t xml:space="preserve"> perjudicial para la supervivencia de una especie.</w:t>
            </w:r>
          </w:p>
        </w:tc>
      </w:tr>
      <w:tr w:rsidR="00D54A66" w:rsidRPr="00E428FD" w14:paraId="7795A98E" w14:textId="77777777">
        <w:trPr>
          <w:trHeight w:val="222"/>
        </w:trPr>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5AE249" w14:textId="3BA49938" w:rsidR="007A638A" w:rsidRPr="00744841" w:rsidRDefault="00641263" w:rsidP="00C158D7">
            <w:pPr>
              <w:spacing w:after="0"/>
              <w:jc w:val="left"/>
              <w:rPr>
                <w:rFonts w:cs="Arial"/>
                <w:color w:val="auto"/>
                <w:sz w:val="20"/>
                <w:szCs w:val="20"/>
                <w:lang w:val="es-ES"/>
              </w:rPr>
            </w:pPr>
            <w:r w:rsidRPr="00744841">
              <w:rPr>
                <w:rFonts w:cs="Arial"/>
                <w:color w:val="auto"/>
                <w:sz w:val="20"/>
                <w:szCs w:val="20"/>
                <w:lang w:val="es-ES"/>
              </w:rPr>
              <w:t>Resolución Conf. 18.3</w:t>
            </w:r>
            <w:r w:rsidR="007A638A" w:rsidRPr="00744841">
              <w:rPr>
                <w:rFonts w:cs="Arial"/>
                <w:color w:val="auto"/>
                <w:sz w:val="20"/>
                <w:szCs w:val="20"/>
                <w:lang w:val="es-ES"/>
              </w:rPr>
              <w:t xml:space="preserve"> </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80E3E" w14:textId="511CA20B" w:rsidR="007A638A" w:rsidRPr="00744841" w:rsidRDefault="00641263" w:rsidP="00641263">
            <w:pPr>
              <w:spacing w:after="0"/>
              <w:jc w:val="left"/>
              <w:rPr>
                <w:rFonts w:cs="Arial"/>
                <w:color w:val="auto"/>
                <w:sz w:val="20"/>
                <w:szCs w:val="20"/>
                <w:lang w:val="es-ES"/>
              </w:rPr>
            </w:pPr>
            <w:r w:rsidRPr="00744841">
              <w:rPr>
                <w:rFonts w:cs="Arial"/>
                <w:color w:val="auto"/>
                <w:sz w:val="20"/>
                <w:szCs w:val="20"/>
                <w:lang w:val="es-ES"/>
              </w:rPr>
              <w:t>Visión Estratégica de la CITES: 2021-2030</w:t>
            </w:r>
            <w:r w:rsidR="007A638A" w:rsidRPr="00744841">
              <w:rPr>
                <w:rFonts w:cs="Arial"/>
                <w:color w:val="auto"/>
                <w:sz w:val="20"/>
                <w:szCs w:val="20"/>
                <w:lang w:val="es-ES"/>
              </w:rPr>
              <w:t xml:space="preserve"> </w:t>
            </w:r>
          </w:p>
        </w:tc>
        <w:tc>
          <w:tcPr>
            <w:tcW w:w="3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B94B68" w14:textId="490A3006" w:rsidR="003666C5" w:rsidRPr="00744841" w:rsidRDefault="00641263" w:rsidP="00641263">
            <w:pPr>
              <w:spacing w:after="21"/>
              <w:jc w:val="left"/>
              <w:rPr>
                <w:rFonts w:cs="Arial"/>
                <w:color w:val="auto"/>
                <w:sz w:val="20"/>
                <w:szCs w:val="20"/>
                <w:lang w:val="es-ES"/>
              </w:rPr>
            </w:pPr>
            <w:r w:rsidRPr="00744841">
              <w:rPr>
                <w:rFonts w:cs="Arial"/>
                <w:color w:val="auto"/>
                <w:sz w:val="20"/>
                <w:szCs w:val="20"/>
                <w:lang w:val="es-ES"/>
              </w:rPr>
              <w:t>Estratégico</w:t>
            </w:r>
          </w:p>
          <w:p w14:paraId="1B800F8D" w14:textId="77777777" w:rsidR="003666C5" w:rsidRPr="00744841" w:rsidRDefault="003666C5">
            <w:pPr>
              <w:spacing w:after="21"/>
              <w:jc w:val="left"/>
              <w:rPr>
                <w:rFonts w:cs="Arial"/>
                <w:color w:val="auto"/>
                <w:sz w:val="20"/>
                <w:szCs w:val="20"/>
                <w:lang w:val="es-ES"/>
              </w:rPr>
            </w:pPr>
          </w:p>
          <w:p w14:paraId="23E08687" w14:textId="650D09D9" w:rsidR="007A638A" w:rsidRPr="00744841" w:rsidRDefault="00641263" w:rsidP="00641263">
            <w:pPr>
              <w:spacing w:after="21"/>
              <w:jc w:val="left"/>
              <w:rPr>
                <w:rFonts w:cs="Arial"/>
                <w:color w:val="auto"/>
                <w:sz w:val="20"/>
                <w:szCs w:val="20"/>
                <w:lang w:val="es-ES"/>
              </w:rPr>
            </w:pPr>
            <w:r w:rsidRPr="00744841">
              <w:rPr>
                <w:rFonts w:cs="Arial"/>
                <w:color w:val="auto"/>
                <w:sz w:val="20"/>
                <w:szCs w:val="20"/>
                <w:lang w:val="es-ES"/>
              </w:rPr>
              <w:t>En la Resolución se establece la Visión Estratégica de la CITES: 2021-2030, inclusive la declaración de visión, el propósito, las cinco metas estratégicas y los objetivos acordados baja cada meta.</w:t>
            </w:r>
          </w:p>
        </w:tc>
      </w:tr>
      <w:tr w:rsidR="00D54A66" w:rsidRPr="00E428FD" w14:paraId="61411865" w14:textId="77777777">
        <w:trPr>
          <w:trHeight w:val="222"/>
        </w:trPr>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6957C" w14:textId="7ABCC823" w:rsidR="007A638A" w:rsidRPr="00744841" w:rsidRDefault="008A2810" w:rsidP="00C158D7">
            <w:pPr>
              <w:spacing w:after="0"/>
              <w:jc w:val="left"/>
              <w:rPr>
                <w:rFonts w:cs="Arial"/>
                <w:color w:val="auto"/>
                <w:sz w:val="20"/>
                <w:szCs w:val="20"/>
                <w:lang w:val="es-ES"/>
              </w:rPr>
            </w:pPr>
            <w:r w:rsidRPr="00744841">
              <w:rPr>
                <w:rFonts w:cs="Arial"/>
                <w:color w:val="auto"/>
                <w:sz w:val="20"/>
                <w:szCs w:val="20"/>
                <w:lang w:val="es-ES"/>
              </w:rPr>
              <w:t>Resolución Conf. 18.7 (Rev. CoP19).</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19B47" w14:textId="06F8481F" w:rsidR="007A638A" w:rsidRPr="00744841" w:rsidRDefault="008A2810" w:rsidP="008A2810">
            <w:pPr>
              <w:spacing w:after="0"/>
              <w:jc w:val="left"/>
              <w:rPr>
                <w:rFonts w:cs="Arial"/>
                <w:color w:val="auto"/>
                <w:sz w:val="20"/>
                <w:szCs w:val="20"/>
                <w:lang w:val="es-ES"/>
              </w:rPr>
            </w:pPr>
            <w:r w:rsidRPr="00744841">
              <w:rPr>
                <w:rFonts w:cs="Arial"/>
                <w:color w:val="auto"/>
                <w:sz w:val="20"/>
                <w:szCs w:val="20"/>
                <w:lang w:val="es-ES"/>
              </w:rPr>
              <w:t>Dictámenes de adquisición legal</w:t>
            </w:r>
          </w:p>
        </w:tc>
        <w:tc>
          <w:tcPr>
            <w:tcW w:w="3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18E298" w14:textId="5F4E4543" w:rsidR="003666C5" w:rsidRPr="00744841" w:rsidRDefault="008A2810" w:rsidP="008A2810">
            <w:pPr>
              <w:spacing w:after="21"/>
              <w:jc w:val="left"/>
              <w:rPr>
                <w:rFonts w:cs="Arial"/>
                <w:color w:val="auto"/>
                <w:sz w:val="20"/>
                <w:szCs w:val="20"/>
                <w:lang w:val="es-ES"/>
              </w:rPr>
            </w:pPr>
            <w:r w:rsidRPr="00744841">
              <w:rPr>
                <w:rFonts w:cs="Arial"/>
                <w:color w:val="auto"/>
                <w:sz w:val="20"/>
                <w:szCs w:val="20"/>
                <w:lang w:val="es-ES"/>
              </w:rPr>
              <w:t>Técnico</w:t>
            </w:r>
          </w:p>
          <w:p w14:paraId="7013B302" w14:textId="77777777" w:rsidR="003666C5" w:rsidRPr="00744841" w:rsidRDefault="003666C5">
            <w:pPr>
              <w:spacing w:after="21"/>
              <w:jc w:val="left"/>
              <w:rPr>
                <w:rFonts w:cs="Arial"/>
                <w:color w:val="auto"/>
                <w:sz w:val="20"/>
                <w:szCs w:val="20"/>
                <w:lang w:val="es-ES"/>
              </w:rPr>
            </w:pPr>
          </w:p>
          <w:p w14:paraId="4EB718D9" w14:textId="046F8DFC" w:rsidR="007A638A" w:rsidRPr="00744841" w:rsidRDefault="008A2810" w:rsidP="008A2810">
            <w:pPr>
              <w:spacing w:after="21"/>
              <w:jc w:val="left"/>
              <w:rPr>
                <w:rFonts w:cs="Arial"/>
                <w:color w:val="auto"/>
                <w:sz w:val="20"/>
                <w:szCs w:val="20"/>
                <w:lang w:val="es-ES"/>
              </w:rPr>
            </w:pPr>
            <w:r w:rsidRPr="00744841">
              <w:rPr>
                <w:rFonts w:cs="Arial"/>
                <w:color w:val="auto"/>
                <w:sz w:val="20"/>
                <w:szCs w:val="20"/>
                <w:lang w:val="es-ES"/>
              </w:rPr>
              <w:t>La Resolución incluye los principios rectores que deben utilizar las Partes para verificar la adquisición legal de los especímenes que se van a exportar.</w:t>
            </w:r>
          </w:p>
        </w:tc>
      </w:tr>
      <w:tr w:rsidR="00D54A66" w:rsidRPr="00E428FD" w14:paraId="6219AC7C" w14:textId="77777777">
        <w:trPr>
          <w:trHeight w:val="222"/>
        </w:trPr>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1B32F" w14:textId="19B9D3F2" w:rsidR="007A638A" w:rsidRPr="00744841" w:rsidRDefault="008A2810" w:rsidP="00C158D7">
            <w:pPr>
              <w:spacing w:after="0"/>
              <w:jc w:val="left"/>
              <w:rPr>
                <w:rFonts w:cs="Arial"/>
                <w:color w:val="auto"/>
                <w:sz w:val="20"/>
                <w:szCs w:val="20"/>
                <w:lang w:val="es-ES"/>
              </w:rPr>
            </w:pPr>
            <w:r w:rsidRPr="00744841">
              <w:rPr>
                <w:rFonts w:cs="Arial"/>
                <w:color w:val="auto"/>
                <w:sz w:val="20"/>
                <w:szCs w:val="20"/>
                <w:lang w:val="es-ES"/>
              </w:rPr>
              <w:t>Resolución Conf. 19.4</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53D967" w14:textId="6D2C7461" w:rsidR="007A638A" w:rsidRPr="00744841" w:rsidRDefault="008A2810" w:rsidP="008A2810">
            <w:pPr>
              <w:spacing w:after="0"/>
              <w:jc w:val="left"/>
              <w:rPr>
                <w:rFonts w:cs="Arial"/>
                <w:color w:val="auto"/>
                <w:sz w:val="20"/>
                <w:szCs w:val="20"/>
                <w:lang w:val="es-ES"/>
              </w:rPr>
            </w:pPr>
            <w:r w:rsidRPr="00744841">
              <w:rPr>
                <w:rFonts w:cs="Arial"/>
                <w:color w:val="auto"/>
                <w:sz w:val="20"/>
                <w:szCs w:val="20"/>
                <w:lang w:val="es-ES"/>
              </w:rPr>
              <w:t>Materiales para la identificación de especímenes de especies incluidas en los Apéndices de la CITES</w:t>
            </w:r>
          </w:p>
        </w:tc>
        <w:tc>
          <w:tcPr>
            <w:tcW w:w="3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B2912" w14:textId="6CD3EC01" w:rsidR="003666C5" w:rsidRPr="00744841" w:rsidRDefault="008A2810" w:rsidP="008A2810">
            <w:pPr>
              <w:spacing w:after="21"/>
              <w:jc w:val="left"/>
              <w:rPr>
                <w:rFonts w:cs="Arial"/>
                <w:color w:val="auto"/>
                <w:sz w:val="20"/>
                <w:szCs w:val="20"/>
                <w:lang w:val="es-ES"/>
              </w:rPr>
            </w:pPr>
            <w:r w:rsidRPr="00744841">
              <w:rPr>
                <w:rFonts w:cs="Arial"/>
                <w:color w:val="auto"/>
                <w:sz w:val="20"/>
                <w:szCs w:val="20"/>
                <w:lang w:val="es-ES"/>
              </w:rPr>
              <w:t>Técnico</w:t>
            </w:r>
          </w:p>
          <w:p w14:paraId="5CA47171" w14:textId="77777777" w:rsidR="003666C5" w:rsidRPr="00744841" w:rsidRDefault="003666C5">
            <w:pPr>
              <w:spacing w:after="21"/>
              <w:jc w:val="left"/>
              <w:rPr>
                <w:rFonts w:cs="Arial"/>
                <w:color w:val="auto"/>
                <w:sz w:val="20"/>
                <w:szCs w:val="20"/>
                <w:lang w:val="es-ES"/>
              </w:rPr>
            </w:pPr>
          </w:p>
          <w:p w14:paraId="495F24F5" w14:textId="3BAD7B20" w:rsidR="007A638A" w:rsidRPr="00744841" w:rsidRDefault="008A2810" w:rsidP="008A2810">
            <w:pPr>
              <w:spacing w:after="21"/>
              <w:jc w:val="left"/>
              <w:rPr>
                <w:rFonts w:cs="Arial"/>
                <w:color w:val="auto"/>
                <w:sz w:val="20"/>
                <w:szCs w:val="20"/>
                <w:lang w:val="es-ES"/>
              </w:rPr>
            </w:pPr>
            <w:r w:rsidRPr="00744841">
              <w:rPr>
                <w:rFonts w:cs="Arial"/>
                <w:color w:val="auto"/>
                <w:sz w:val="20"/>
                <w:szCs w:val="20"/>
                <w:lang w:val="es-ES"/>
              </w:rPr>
              <w:t>En la Resolución se prevé la preparación de materiales de identificación y el examen y análisis periódico de los materiales para garantizar que se abordan las necesidades de las Partes en este sentido.</w:t>
            </w:r>
            <w:r w:rsidR="007A638A" w:rsidRPr="00744841">
              <w:rPr>
                <w:rFonts w:cs="Arial"/>
                <w:color w:val="auto"/>
                <w:sz w:val="20"/>
                <w:szCs w:val="20"/>
                <w:lang w:val="es-ES"/>
              </w:rPr>
              <w:t xml:space="preserve"> </w:t>
            </w:r>
            <w:r w:rsidRPr="00744841">
              <w:rPr>
                <w:rFonts w:cs="Arial"/>
                <w:color w:val="auto"/>
                <w:sz w:val="20"/>
                <w:szCs w:val="20"/>
                <w:lang w:val="es-ES"/>
              </w:rPr>
              <w:t>La capacidad de los oficiales de inspección CITES y los oficiales de aduanas para identificar las especies y los artículos incluidos en la CITES objeto de comercio es esencial para la aplicación y la observancia de las protecciones ofrecidas a las especies incluidas en la CITES.</w:t>
            </w:r>
            <w:r w:rsidR="007A638A" w:rsidRPr="00744841">
              <w:rPr>
                <w:rFonts w:cs="Arial"/>
                <w:color w:val="auto"/>
                <w:sz w:val="20"/>
                <w:szCs w:val="20"/>
                <w:lang w:val="es-ES"/>
              </w:rPr>
              <w:t xml:space="preserve"> </w:t>
            </w:r>
          </w:p>
        </w:tc>
      </w:tr>
    </w:tbl>
    <w:p w14:paraId="424EF749" w14:textId="77777777" w:rsidR="003666C5" w:rsidRPr="00744841" w:rsidRDefault="007A638A" w:rsidP="007A638A">
      <w:pPr>
        <w:ind w:left="2"/>
        <w:jc w:val="left"/>
        <w:rPr>
          <w:rFonts w:cs="Arial"/>
          <w:color w:val="auto"/>
          <w:lang w:val="es-ES"/>
        </w:rPr>
      </w:pPr>
      <w:r w:rsidRPr="00744841">
        <w:rPr>
          <w:rFonts w:cs="Arial"/>
          <w:color w:val="auto"/>
          <w:lang w:val="es-ES"/>
        </w:rPr>
        <w:t xml:space="preserve"> </w:t>
      </w:r>
    </w:p>
    <w:p w14:paraId="60191793" w14:textId="423721E2" w:rsidR="003666C5" w:rsidRPr="00744841" w:rsidRDefault="008A2810" w:rsidP="001F2A63">
      <w:pPr>
        <w:keepNext/>
        <w:spacing w:after="230"/>
        <w:jc w:val="left"/>
        <w:rPr>
          <w:rFonts w:cs="Arial"/>
          <w:color w:val="auto"/>
          <w:lang w:val="es-ES"/>
        </w:rPr>
      </w:pPr>
      <w:r w:rsidRPr="00744841">
        <w:rPr>
          <w:rFonts w:cs="Arial"/>
          <w:color w:val="auto"/>
          <w:u w:val="single"/>
          <w:lang w:val="es-ES"/>
        </w:rPr>
        <w:t xml:space="preserve">Sección 2: Decisiones pertinentes para las especies arbóreas con posibilidades de aplicación a través de un enfoque programático para cualquier nueva iniciativa sobre la </w:t>
      </w:r>
      <w:r w:rsidRPr="00744841">
        <w:rPr>
          <w:rFonts w:cs="Arial"/>
          <w:i/>
          <w:color w:val="auto"/>
          <w:u w:val="single"/>
          <w:lang w:val="es-ES"/>
        </w:rPr>
        <w:t>CITES y los bosques</w:t>
      </w:r>
      <w:r w:rsidR="007A638A" w:rsidRPr="00744841">
        <w:rPr>
          <w:rFonts w:cs="Arial"/>
          <w:color w:val="auto"/>
          <w:lang w:val="es-ES"/>
        </w:rPr>
        <w:t xml:space="preserve"> </w:t>
      </w:r>
    </w:p>
    <w:p w14:paraId="7618D5A3" w14:textId="65CB5C88" w:rsidR="003666C5" w:rsidRPr="00744841" w:rsidRDefault="008A2810" w:rsidP="008A2810">
      <w:pPr>
        <w:spacing w:after="8"/>
        <w:ind w:left="-3" w:right="41"/>
        <w:rPr>
          <w:rFonts w:cs="Arial"/>
          <w:color w:val="auto"/>
          <w:lang w:val="es-ES"/>
        </w:rPr>
      </w:pPr>
      <w:r w:rsidRPr="00744841">
        <w:rPr>
          <w:rFonts w:cs="Arial"/>
          <w:color w:val="auto"/>
          <w:lang w:val="es-ES"/>
        </w:rPr>
        <w:t xml:space="preserve">Además de centrar el cuadro infra en las especies arbóreas incluidas en la CITES, se prestó especial consideración a las decisiones en las que se pide la aplicación de proyectos o estudios pertinentes que </w:t>
      </w:r>
      <w:r w:rsidRPr="00744841">
        <w:rPr>
          <w:rFonts w:cs="Arial"/>
          <w:color w:val="auto"/>
          <w:lang w:val="es-ES"/>
        </w:rPr>
        <w:lastRenderedPageBreak/>
        <w:t>dependen de la disponibilidad de recursos financieros externos.</w:t>
      </w:r>
      <w:r w:rsidR="007A638A" w:rsidRPr="00744841">
        <w:rPr>
          <w:rFonts w:cs="Arial"/>
          <w:color w:val="auto"/>
          <w:lang w:val="es-ES"/>
        </w:rPr>
        <w:t xml:space="preserve"> </w:t>
      </w:r>
      <w:r w:rsidRPr="00744841">
        <w:rPr>
          <w:rFonts w:cs="Arial"/>
          <w:color w:val="auto"/>
          <w:lang w:val="es-ES"/>
        </w:rPr>
        <w:t xml:space="preserve">El objetivo es dar una idea de cómo puede adaptarse cualquier programa futuro de la CITES sobre los bosques, y cómo podrían tomar forma las iniciativas emblemáticas futuras bajo una ‘etiqueta’ la </w:t>
      </w:r>
      <w:r w:rsidRPr="00744841">
        <w:rPr>
          <w:rFonts w:cs="Arial"/>
          <w:i/>
          <w:color w:val="auto"/>
          <w:lang w:val="es-ES"/>
        </w:rPr>
        <w:t>CITES y los bosques</w:t>
      </w:r>
      <w:r w:rsidRPr="00744841">
        <w:rPr>
          <w:rFonts w:cs="Arial"/>
          <w:color w:val="auto"/>
          <w:lang w:val="es-ES"/>
        </w:rPr>
        <w:t>.</w:t>
      </w:r>
      <w:r w:rsidR="007A638A" w:rsidRPr="00744841">
        <w:rPr>
          <w:rFonts w:cs="Arial"/>
          <w:color w:val="auto"/>
          <w:lang w:val="es-ES"/>
        </w:rPr>
        <w:t xml:space="preserve"> </w:t>
      </w:r>
    </w:p>
    <w:p w14:paraId="72EF5881" w14:textId="77777777" w:rsidR="003666C5" w:rsidRPr="00744841" w:rsidRDefault="003666C5" w:rsidP="007A638A">
      <w:pPr>
        <w:spacing w:after="8"/>
        <w:ind w:left="-3" w:right="41"/>
        <w:rPr>
          <w:rFonts w:cs="Arial"/>
          <w:color w:val="auto"/>
          <w:lang w:val="es-ES"/>
        </w:rPr>
      </w:pPr>
    </w:p>
    <w:p w14:paraId="311D3FEA" w14:textId="0CDFE5A5" w:rsidR="003666C5" w:rsidRPr="00744841" w:rsidRDefault="008A2810" w:rsidP="008A2810">
      <w:pPr>
        <w:spacing w:after="8"/>
        <w:ind w:left="-3" w:right="41"/>
        <w:rPr>
          <w:rFonts w:cs="Arial"/>
          <w:color w:val="auto"/>
          <w:lang w:val="es-ES"/>
        </w:rPr>
      </w:pPr>
      <w:r w:rsidRPr="00744841">
        <w:rPr>
          <w:rFonts w:cs="Arial"/>
          <w:color w:val="auto"/>
          <w:lang w:val="es-ES"/>
        </w:rPr>
        <w:t xml:space="preserve">A </w:t>
      </w:r>
      <w:proofErr w:type="gramStart"/>
      <w:r w:rsidRPr="00744841">
        <w:rPr>
          <w:rFonts w:cs="Arial"/>
          <w:color w:val="auto"/>
          <w:lang w:val="es-ES"/>
        </w:rPr>
        <w:t>continuación</w:t>
      </w:r>
      <w:proofErr w:type="gramEnd"/>
      <w:r w:rsidRPr="00744841">
        <w:rPr>
          <w:rFonts w:cs="Arial"/>
          <w:color w:val="auto"/>
          <w:lang w:val="es-ES"/>
        </w:rPr>
        <w:t xml:space="preserve"> figuran las decisiones dirigidas al Comité de Flora que orientarán la labor para mejorar la aplicación de la CITES para las especies arbóreas reguladas.</w:t>
      </w:r>
      <w:r w:rsidR="007A638A" w:rsidRPr="00744841">
        <w:rPr>
          <w:rFonts w:cs="Arial"/>
          <w:color w:val="auto"/>
          <w:lang w:val="es-ES"/>
        </w:rPr>
        <w:t xml:space="preserve"> </w:t>
      </w:r>
      <w:r w:rsidRPr="00744841">
        <w:rPr>
          <w:rFonts w:cs="Arial"/>
          <w:color w:val="auto"/>
          <w:lang w:val="es-ES"/>
        </w:rPr>
        <w:t>Esta variedad de actividades demuestra la diversidad del papel del Comité de Flora en coordinación con la Secretaría para proporcionar conocimientos técnicos a fin de mejorar el uso sostenible y la conservación de las especies arbóreas incluidas en la CITES.</w:t>
      </w:r>
      <w:r w:rsidR="007A638A" w:rsidRPr="00744841">
        <w:rPr>
          <w:rFonts w:cs="Arial"/>
          <w:color w:val="auto"/>
          <w:lang w:val="es-ES"/>
        </w:rPr>
        <w:t xml:space="preserve"> </w:t>
      </w:r>
      <w:r w:rsidRPr="00744841">
        <w:rPr>
          <w:rFonts w:cs="Arial"/>
          <w:color w:val="auto"/>
          <w:lang w:val="es-ES"/>
        </w:rPr>
        <w:t>El Comité de Flora prioriza los esfuerzos para abordar las decisiones como parte de su plan de trabajo (PC26 Doc. 8.2 / PC26 SR) que se acuerda después de cada reunión de la Conferencia de las Partes.</w:t>
      </w:r>
    </w:p>
    <w:p w14:paraId="42C6A16E" w14:textId="0E85BE60" w:rsidR="007A638A" w:rsidRPr="00744841" w:rsidRDefault="007A638A" w:rsidP="007A638A">
      <w:pPr>
        <w:spacing w:after="8"/>
        <w:ind w:left="-3" w:right="41"/>
        <w:rPr>
          <w:rFonts w:cs="Arial"/>
          <w:color w:val="auto"/>
          <w:lang w:val="es-ES"/>
        </w:rPr>
      </w:pPr>
    </w:p>
    <w:tbl>
      <w:tblPr>
        <w:tblStyle w:val="TableGrid1"/>
        <w:tblW w:w="9626" w:type="dxa"/>
        <w:tblInd w:w="9" w:type="dxa"/>
        <w:tblCellMar>
          <w:top w:w="45" w:type="dxa"/>
          <w:left w:w="108" w:type="dxa"/>
          <w:right w:w="36" w:type="dxa"/>
        </w:tblCellMar>
        <w:tblLook w:val="04A0" w:firstRow="1" w:lastRow="0" w:firstColumn="1" w:lastColumn="0" w:noHBand="0" w:noVBand="1"/>
      </w:tblPr>
      <w:tblGrid>
        <w:gridCol w:w="2261"/>
        <w:gridCol w:w="4394"/>
        <w:gridCol w:w="2971"/>
      </w:tblGrid>
      <w:tr w:rsidR="00D54A66" w:rsidRPr="00E428FD" w14:paraId="13AB0D74" w14:textId="77777777">
        <w:trPr>
          <w:trHeight w:val="1159"/>
        </w:trPr>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92BC22A" w14:textId="26AF391C" w:rsidR="007A638A" w:rsidRPr="00744841" w:rsidRDefault="00925570" w:rsidP="00925570">
            <w:pPr>
              <w:keepNext/>
              <w:spacing w:after="0"/>
              <w:ind w:right="68"/>
              <w:jc w:val="center"/>
              <w:rPr>
                <w:rFonts w:cs="Arial"/>
                <w:color w:val="auto"/>
                <w:sz w:val="20"/>
                <w:szCs w:val="20"/>
                <w:lang w:val="es-ES"/>
              </w:rPr>
            </w:pPr>
            <w:r w:rsidRPr="00744841">
              <w:rPr>
                <w:rFonts w:cs="Arial"/>
                <w:b/>
                <w:color w:val="auto"/>
                <w:sz w:val="20"/>
                <w:szCs w:val="20"/>
                <w:lang w:val="es-ES"/>
              </w:rPr>
              <w:t>Decisión No.</w:t>
            </w:r>
            <w:r w:rsidR="007A638A" w:rsidRPr="00744841">
              <w:rPr>
                <w:rFonts w:cs="Arial"/>
                <w:b/>
                <w:color w:val="auto"/>
                <w:sz w:val="20"/>
                <w:szCs w:val="20"/>
                <w:lang w:val="es-ES"/>
              </w:rPr>
              <w:t xml:space="preserve">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EC4B0DA" w14:textId="30F72A09" w:rsidR="007A638A" w:rsidRPr="00744841" w:rsidRDefault="00925570" w:rsidP="00925570">
            <w:pPr>
              <w:spacing w:after="0"/>
              <w:ind w:right="74"/>
              <w:jc w:val="center"/>
              <w:rPr>
                <w:rFonts w:cs="Arial"/>
                <w:color w:val="auto"/>
                <w:sz w:val="20"/>
                <w:szCs w:val="20"/>
                <w:lang w:val="es-ES"/>
              </w:rPr>
            </w:pPr>
            <w:r w:rsidRPr="00744841">
              <w:rPr>
                <w:rFonts w:cs="Arial"/>
                <w:b/>
                <w:color w:val="auto"/>
                <w:sz w:val="20"/>
                <w:szCs w:val="20"/>
                <w:lang w:val="es-ES"/>
              </w:rPr>
              <w:t>Título</w:t>
            </w:r>
            <w:r w:rsidR="007A638A" w:rsidRPr="00744841">
              <w:rPr>
                <w:rFonts w:cs="Arial"/>
                <w:b/>
                <w:color w:val="auto"/>
                <w:sz w:val="20"/>
                <w:szCs w:val="20"/>
                <w:lang w:val="es-ES"/>
              </w:rPr>
              <w:t xml:space="preserve"> </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D55010E" w14:textId="77777777" w:rsidR="008B1E3C" w:rsidRPr="00744841" w:rsidRDefault="008B1E3C" w:rsidP="008B1E3C">
            <w:pPr>
              <w:pStyle w:val="NoSpacing"/>
              <w:jc w:val="center"/>
              <w:rPr>
                <w:rFonts w:asciiTheme="minorBidi" w:hAnsiTheme="minorBidi"/>
                <w:b/>
                <w:bCs/>
                <w:i/>
                <w:iCs/>
                <w:color w:val="auto"/>
                <w:lang w:val="es-ES"/>
              </w:rPr>
            </w:pPr>
            <w:r w:rsidRPr="00744841">
              <w:rPr>
                <w:rFonts w:asciiTheme="minorBidi" w:hAnsiTheme="minorBidi"/>
                <w:b/>
                <w:bCs/>
                <w:color w:val="auto"/>
                <w:lang w:val="es-ES"/>
              </w:rPr>
              <w:t xml:space="preserve">Base de referencia para la aplicación a través de un marco programático sobre la </w:t>
            </w:r>
            <w:r w:rsidRPr="00744841">
              <w:rPr>
                <w:rFonts w:asciiTheme="minorBidi" w:hAnsiTheme="minorBidi"/>
                <w:b/>
                <w:bCs/>
                <w:i/>
                <w:iCs/>
                <w:color w:val="auto"/>
                <w:lang w:val="es-ES"/>
              </w:rPr>
              <w:t>CITES y los bosques</w:t>
            </w:r>
          </w:p>
          <w:p w14:paraId="4793FF04" w14:textId="171FBFCA" w:rsidR="007A638A" w:rsidRPr="00744841" w:rsidRDefault="008B1E3C" w:rsidP="008B1E3C">
            <w:pPr>
              <w:spacing w:after="0"/>
              <w:jc w:val="center"/>
              <w:rPr>
                <w:rFonts w:cs="Arial"/>
                <w:color w:val="auto"/>
                <w:sz w:val="20"/>
                <w:szCs w:val="20"/>
                <w:lang w:val="es-ES"/>
              </w:rPr>
            </w:pPr>
            <w:r w:rsidRPr="00744841">
              <w:rPr>
                <w:b/>
                <w:bCs/>
                <w:color w:val="auto"/>
                <w:lang w:val="es-ES"/>
              </w:rPr>
              <w:t>(</w:t>
            </w:r>
            <w:r w:rsidR="00CC1CBC" w:rsidRPr="00744841">
              <w:rPr>
                <w:b/>
                <w:bCs/>
                <w:color w:val="auto"/>
                <w:lang w:val="es-ES"/>
              </w:rPr>
              <w:t>documento</w:t>
            </w:r>
            <w:r w:rsidRPr="00744841">
              <w:rPr>
                <w:b/>
                <w:bCs/>
                <w:color w:val="auto"/>
                <w:lang w:val="es-ES"/>
              </w:rPr>
              <w:t xml:space="preserve">s pertinentes, incluidos </w:t>
            </w:r>
            <w:r w:rsidRPr="00744841">
              <w:rPr>
                <w:rFonts w:asciiTheme="minorBidi" w:hAnsiTheme="minorBidi"/>
                <w:b/>
                <w:bCs/>
                <w:color w:val="auto"/>
                <w:lang w:val="es-ES"/>
              </w:rPr>
              <w:t>estudios y proyectos)</w:t>
            </w:r>
          </w:p>
        </w:tc>
      </w:tr>
      <w:tr w:rsidR="00D54A66" w:rsidRPr="00744841" w14:paraId="6DB66962" w14:textId="77777777">
        <w:trPr>
          <w:trHeight w:val="239"/>
        </w:trPr>
        <w:tc>
          <w:tcPr>
            <w:tcW w:w="2261" w:type="dxa"/>
            <w:tcBorders>
              <w:top w:val="single" w:sz="4" w:space="0" w:color="000000" w:themeColor="text1"/>
              <w:left w:val="single" w:sz="4" w:space="0" w:color="000000" w:themeColor="text1"/>
              <w:bottom w:val="single" w:sz="4" w:space="0" w:color="000000" w:themeColor="text1"/>
              <w:right w:val="nil"/>
            </w:tcBorders>
            <w:shd w:val="clear" w:color="auto" w:fill="F2F2F2" w:themeFill="background1" w:themeFillShade="F2"/>
          </w:tcPr>
          <w:p w14:paraId="242FDC2E" w14:textId="77777777" w:rsidR="007A638A" w:rsidRPr="00744841" w:rsidRDefault="007A638A">
            <w:pPr>
              <w:spacing w:after="160"/>
              <w:jc w:val="left"/>
              <w:rPr>
                <w:rFonts w:cs="Arial"/>
                <w:color w:val="auto"/>
                <w:sz w:val="20"/>
                <w:szCs w:val="20"/>
                <w:lang w:val="es-ES"/>
              </w:rPr>
            </w:pPr>
          </w:p>
        </w:tc>
        <w:tc>
          <w:tcPr>
            <w:tcW w:w="4394" w:type="dxa"/>
            <w:tcBorders>
              <w:top w:val="single" w:sz="4" w:space="0" w:color="000000" w:themeColor="text1"/>
              <w:left w:val="nil"/>
              <w:bottom w:val="single" w:sz="4" w:space="0" w:color="000000" w:themeColor="text1"/>
              <w:right w:val="nil"/>
            </w:tcBorders>
            <w:shd w:val="clear" w:color="auto" w:fill="F2F2F2" w:themeFill="background1" w:themeFillShade="F2"/>
          </w:tcPr>
          <w:p w14:paraId="5B1E9DA9" w14:textId="1023E1B1" w:rsidR="007A638A" w:rsidRPr="00744841" w:rsidRDefault="00925570" w:rsidP="00925570">
            <w:pPr>
              <w:spacing w:after="0"/>
              <w:ind w:left="638"/>
              <w:jc w:val="center"/>
              <w:rPr>
                <w:rFonts w:cs="Arial"/>
                <w:color w:val="auto"/>
                <w:sz w:val="20"/>
                <w:szCs w:val="20"/>
                <w:lang w:val="es-ES"/>
              </w:rPr>
            </w:pPr>
            <w:r w:rsidRPr="00744841">
              <w:rPr>
                <w:rFonts w:cs="Arial"/>
                <w:b/>
                <w:color w:val="auto"/>
                <w:sz w:val="20"/>
                <w:szCs w:val="20"/>
                <w:lang w:val="es-ES"/>
              </w:rPr>
              <w:t>Cuestiones estratégicas</w:t>
            </w:r>
            <w:r w:rsidR="007A638A" w:rsidRPr="00744841">
              <w:rPr>
                <w:rFonts w:cs="Arial"/>
                <w:b/>
                <w:color w:val="auto"/>
                <w:sz w:val="20"/>
                <w:szCs w:val="20"/>
                <w:lang w:val="es-ES"/>
              </w:rPr>
              <w:t xml:space="preserve"> </w:t>
            </w:r>
          </w:p>
        </w:tc>
        <w:tc>
          <w:tcPr>
            <w:tcW w:w="2971" w:type="dxa"/>
            <w:tcBorders>
              <w:top w:val="single" w:sz="4" w:space="0" w:color="000000" w:themeColor="text1"/>
              <w:left w:val="nil"/>
              <w:bottom w:val="single" w:sz="4" w:space="0" w:color="000000" w:themeColor="text1"/>
              <w:right w:val="single" w:sz="4" w:space="0" w:color="000000" w:themeColor="text1"/>
            </w:tcBorders>
            <w:shd w:val="clear" w:color="auto" w:fill="F2F2F2" w:themeFill="background1" w:themeFillShade="F2"/>
          </w:tcPr>
          <w:p w14:paraId="40934B24" w14:textId="77777777" w:rsidR="007A638A" w:rsidRPr="00744841" w:rsidRDefault="007A638A">
            <w:pPr>
              <w:spacing w:after="160"/>
              <w:jc w:val="left"/>
              <w:rPr>
                <w:rFonts w:cs="Arial"/>
                <w:color w:val="auto"/>
                <w:sz w:val="20"/>
                <w:szCs w:val="20"/>
                <w:lang w:val="es-ES"/>
              </w:rPr>
            </w:pPr>
          </w:p>
        </w:tc>
      </w:tr>
      <w:tr w:rsidR="00D54A66" w:rsidRPr="00744841" w14:paraId="370D7F33" w14:textId="77777777">
        <w:trPr>
          <w:trHeight w:val="241"/>
        </w:trPr>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5D57B" w14:textId="1BDF761B" w:rsidR="007A638A" w:rsidRPr="00744841" w:rsidRDefault="007A638A">
            <w:pPr>
              <w:spacing w:after="0"/>
              <w:jc w:val="left"/>
              <w:rPr>
                <w:rFonts w:cs="Arial"/>
                <w:color w:val="auto"/>
                <w:sz w:val="20"/>
                <w:szCs w:val="20"/>
                <w:lang w:val="es-ES"/>
              </w:rPr>
            </w:pPr>
            <w:r w:rsidRPr="00744841">
              <w:rPr>
                <w:rFonts w:cs="Arial"/>
                <w:color w:val="auto"/>
                <w:sz w:val="20"/>
                <w:szCs w:val="20"/>
                <w:lang w:val="es-ES"/>
              </w:rPr>
              <w:t>19.32</w:t>
            </w:r>
            <w:r w:rsidR="00566EA5" w:rsidRPr="00744841">
              <w:rPr>
                <w:rFonts w:cs="Arial"/>
                <w:color w:val="auto"/>
                <w:sz w:val="20"/>
                <w:szCs w:val="20"/>
                <w:lang w:val="es-ES"/>
              </w:rPr>
              <w:t xml:space="preserve"> a</w:t>
            </w:r>
            <w:r w:rsidRPr="00744841">
              <w:rPr>
                <w:rFonts w:cs="Arial"/>
                <w:color w:val="auto"/>
                <w:sz w:val="20"/>
                <w:szCs w:val="20"/>
                <w:lang w:val="es-ES"/>
              </w:rPr>
              <w:t xml:space="preserve"> 19.34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B9358" w14:textId="10F9BA3A" w:rsidR="007A638A" w:rsidRPr="00744841" w:rsidRDefault="00925570" w:rsidP="00925570">
            <w:pPr>
              <w:spacing w:after="0"/>
              <w:jc w:val="left"/>
              <w:rPr>
                <w:rFonts w:cs="Arial"/>
                <w:color w:val="auto"/>
                <w:sz w:val="20"/>
                <w:szCs w:val="20"/>
                <w:lang w:val="es-ES"/>
              </w:rPr>
            </w:pPr>
            <w:r w:rsidRPr="00744841">
              <w:rPr>
                <w:rFonts w:cs="Arial"/>
                <w:color w:val="auto"/>
                <w:sz w:val="20"/>
                <w:szCs w:val="20"/>
                <w:lang w:val="es-ES"/>
              </w:rPr>
              <w:t>La CITES y los bosques</w:t>
            </w:r>
            <w:r w:rsidR="007A638A" w:rsidRPr="00744841">
              <w:rPr>
                <w:rFonts w:cs="Arial"/>
                <w:color w:val="auto"/>
                <w:sz w:val="20"/>
                <w:szCs w:val="20"/>
                <w:lang w:val="es-ES"/>
              </w:rPr>
              <w:t xml:space="preserve"> </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57C45" w14:textId="77777777" w:rsidR="003666C5" w:rsidRPr="00744841" w:rsidRDefault="007A638A">
            <w:pPr>
              <w:spacing w:after="0"/>
              <w:jc w:val="left"/>
              <w:rPr>
                <w:rFonts w:cs="Arial"/>
                <w:color w:val="auto"/>
                <w:sz w:val="20"/>
                <w:szCs w:val="20"/>
                <w:lang w:val="es-ES"/>
              </w:rPr>
            </w:pPr>
            <w:r w:rsidRPr="00744841">
              <w:rPr>
                <w:rFonts w:cs="Arial"/>
                <w:color w:val="auto"/>
                <w:sz w:val="20"/>
                <w:szCs w:val="20"/>
                <w:lang w:val="es-ES"/>
              </w:rPr>
              <w:t xml:space="preserve">PC26 Doc. 13 </w:t>
            </w:r>
          </w:p>
          <w:p w14:paraId="41B42573" w14:textId="6FE566CB" w:rsidR="007A638A" w:rsidRPr="00744841" w:rsidRDefault="007A638A">
            <w:pPr>
              <w:spacing w:after="0"/>
              <w:jc w:val="left"/>
              <w:rPr>
                <w:rFonts w:cs="Arial"/>
                <w:color w:val="auto"/>
                <w:sz w:val="20"/>
                <w:szCs w:val="20"/>
                <w:lang w:val="es-ES"/>
              </w:rPr>
            </w:pPr>
            <w:r w:rsidRPr="00744841">
              <w:rPr>
                <w:rFonts w:cs="Arial"/>
                <w:color w:val="auto"/>
                <w:sz w:val="20"/>
                <w:szCs w:val="20"/>
                <w:lang w:val="es-ES"/>
              </w:rPr>
              <w:t>PC26 SR</w:t>
            </w:r>
          </w:p>
        </w:tc>
      </w:tr>
      <w:tr w:rsidR="00D54A66" w:rsidRPr="00744841" w14:paraId="66157E3B" w14:textId="77777777">
        <w:trPr>
          <w:trHeight w:val="240"/>
        </w:trPr>
        <w:tc>
          <w:tcPr>
            <w:tcW w:w="2261" w:type="dxa"/>
            <w:tcBorders>
              <w:top w:val="single" w:sz="4" w:space="0" w:color="000000" w:themeColor="text1"/>
              <w:left w:val="single" w:sz="4" w:space="0" w:color="000000" w:themeColor="text1"/>
              <w:bottom w:val="single" w:sz="4" w:space="0" w:color="000000" w:themeColor="text1"/>
              <w:right w:val="nil"/>
            </w:tcBorders>
          </w:tcPr>
          <w:p w14:paraId="1BD599E0" w14:textId="77777777" w:rsidR="007A638A" w:rsidRPr="00744841" w:rsidRDefault="007A638A">
            <w:pPr>
              <w:spacing w:after="160"/>
              <w:jc w:val="left"/>
              <w:rPr>
                <w:rFonts w:cs="Arial"/>
                <w:color w:val="auto"/>
                <w:sz w:val="20"/>
                <w:szCs w:val="20"/>
                <w:lang w:val="es-ES"/>
              </w:rPr>
            </w:pPr>
          </w:p>
        </w:tc>
        <w:tc>
          <w:tcPr>
            <w:tcW w:w="4394" w:type="dxa"/>
            <w:tcBorders>
              <w:top w:val="single" w:sz="4" w:space="0" w:color="000000" w:themeColor="text1"/>
              <w:left w:val="nil"/>
              <w:bottom w:val="single" w:sz="4" w:space="0" w:color="000000" w:themeColor="text1"/>
              <w:right w:val="nil"/>
            </w:tcBorders>
          </w:tcPr>
          <w:p w14:paraId="6C7CF1C0" w14:textId="7FF321DC" w:rsidR="007A638A" w:rsidRPr="00744841" w:rsidRDefault="00925570" w:rsidP="00925570">
            <w:pPr>
              <w:spacing w:after="0"/>
              <w:ind w:left="639"/>
              <w:jc w:val="center"/>
              <w:rPr>
                <w:rFonts w:cs="Arial"/>
                <w:color w:val="auto"/>
                <w:sz w:val="20"/>
                <w:szCs w:val="20"/>
                <w:lang w:val="es-ES"/>
              </w:rPr>
            </w:pPr>
            <w:r w:rsidRPr="00744841">
              <w:rPr>
                <w:rFonts w:cs="Arial"/>
                <w:i/>
                <w:color w:val="auto"/>
                <w:sz w:val="20"/>
                <w:szCs w:val="20"/>
                <w:u w:val="single"/>
                <w:lang w:val="es-ES"/>
              </w:rPr>
              <w:t>Fomento de capacidad</w:t>
            </w:r>
            <w:r w:rsidR="007A638A" w:rsidRPr="00744841">
              <w:rPr>
                <w:rFonts w:cs="Arial"/>
                <w:i/>
                <w:color w:val="auto"/>
                <w:sz w:val="20"/>
                <w:szCs w:val="20"/>
                <w:lang w:val="es-ES"/>
              </w:rPr>
              <w:t xml:space="preserve"> </w:t>
            </w:r>
          </w:p>
        </w:tc>
        <w:tc>
          <w:tcPr>
            <w:tcW w:w="2971" w:type="dxa"/>
            <w:tcBorders>
              <w:top w:val="single" w:sz="4" w:space="0" w:color="000000" w:themeColor="text1"/>
              <w:left w:val="nil"/>
              <w:bottom w:val="single" w:sz="4" w:space="0" w:color="000000" w:themeColor="text1"/>
              <w:right w:val="single" w:sz="4" w:space="0" w:color="000000" w:themeColor="text1"/>
            </w:tcBorders>
          </w:tcPr>
          <w:p w14:paraId="1053489E" w14:textId="77777777" w:rsidR="007A638A" w:rsidRPr="00744841" w:rsidRDefault="007A638A">
            <w:pPr>
              <w:spacing w:after="160"/>
              <w:jc w:val="left"/>
              <w:rPr>
                <w:rFonts w:cs="Arial"/>
                <w:color w:val="auto"/>
                <w:sz w:val="20"/>
                <w:szCs w:val="20"/>
                <w:lang w:val="es-ES"/>
              </w:rPr>
            </w:pPr>
          </w:p>
        </w:tc>
      </w:tr>
      <w:tr w:rsidR="00D54A66" w:rsidRPr="00744841" w14:paraId="6F570FAA" w14:textId="77777777">
        <w:trPr>
          <w:trHeight w:val="472"/>
        </w:trPr>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89D69" w14:textId="52FC0C7C" w:rsidR="007A638A" w:rsidRPr="00744841" w:rsidRDefault="007A638A">
            <w:pPr>
              <w:spacing w:after="0"/>
              <w:jc w:val="left"/>
              <w:rPr>
                <w:rFonts w:cs="Arial"/>
                <w:color w:val="auto"/>
                <w:sz w:val="20"/>
                <w:szCs w:val="20"/>
                <w:lang w:val="es-ES"/>
              </w:rPr>
            </w:pPr>
            <w:r w:rsidRPr="00744841">
              <w:rPr>
                <w:rFonts w:cs="Arial"/>
                <w:color w:val="auto"/>
                <w:sz w:val="20"/>
                <w:szCs w:val="20"/>
                <w:lang w:val="es-ES"/>
              </w:rPr>
              <w:t xml:space="preserve">19.49 </w:t>
            </w:r>
            <w:r w:rsidR="00566EA5" w:rsidRPr="00744841">
              <w:rPr>
                <w:rFonts w:cs="Arial"/>
                <w:color w:val="auto"/>
                <w:sz w:val="20"/>
                <w:szCs w:val="20"/>
                <w:lang w:val="es-ES"/>
              </w:rPr>
              <w:t>y</w:t>
            </w:r>
            <w:r w:rsidRPr="00744841">
              <w:rPr>
                <w:rFonts w:cs="Arial"/>
                <w:color w:val="auto"/>
                <w:sz w:val="20"/>
                <w:szCs w:val="20"/>
                <w:lang w:val="es-ES"/>
              </w:rPr>
              <w:t xml:space="preserve"> 19.50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BA847" w14:textId="4127587B" w:rsidR="007A638A" w:rsidRPr="00744841" w:rsidRDefault="00925570" w:rsidP="00925570">
            <w:pPr>
              <w:spacing w:after="0"/>
              <w:jc w:val="left"/>
              <w:rPr>
                <w:rFonts w:cs="Arial"/>
                <w:color w:val="auto"/>
                <w:sz w:val="20"/>
                <w:szCs w:val="20"/>
                <w:lang w:val="es-ES"/>
              </w:rPr>
            </w:pPr>
            <w:r w:rsidRPr="00744841">
              <w:rPr>
                <w:rFonts w:cs="Arial"/>
                <w:color w:val="auto"/>
                <w:sz w:val="20"/>
                <w:szCs w:val="20"/>
                <w:lang w:val="es-ES"/>
              </w:rPr>
              <w:t>Programa sobre especies arbóreas</w:t>
            </w:r>
            <w:r w:rsidR="007A638A" w:rsidRPr="00744841">
              <w:rPr>
                <w:rFonts w:cs="Arial"/>
                <w:color w:val="auto"/>
                <w:sz w:val="20"/>
                <w:szCs w:val="20"/>
                <w:lang w:val="es-ES"/>
              </w:rPr>
              <w:t xml:space="preserve"> </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057EE" w14:textId="5499B5A6" w:rsidR="003666C5" w:rsidRPr="00744841" w:rsidRDefault="00925570" w:rsidP="00925570">
            <w:pPr>
              <w:spacing w:after="0"/>
              <w:rPr>
                <w:rFonts w:cs="Arial"/>
                <w:color w:val="auto"/>
                <w:sz w:val="20"/>
                <w:szCs w:val="20"/>
                <w:lang w:val="es-ES"/>
              </w:rPr>
            </w:pPr>
            <w:r w:rsidRPr="00744841">
              <w:rPr>
                <w:rFonts w:cs="Arial"/>
                <w:color w:val="auto"/>
                <w:sz w:val="20"/>
                <w:szCs w:val="20"/>
                <w:lang w:val="es-ES"/>
              </w:rPr>
              <w:t>PC26 Doc. 15 (véase también la Sección 3 del presente Anexo)</w:t>
            </w:r>
            <w:r w:rsidR="007A638A" w:rsidRPr="00744841">
              <w:rPr>
                <w:rFonts w:cs="Arial"/>
                <w:color w:val="auto"/>
                <w:sz w:val="20"/>
                <w:szCs w:val="20"/>
                <w:lang w:val="es-ES"/>
              </w:rPr>
              <w:t xml:space="preserve"> </w:t>
            </w:r>
          </w:p>
          <w:p w14:paraId="00C3B72E" w14:textId="50C1FF6A" w:rsidR="007A638A" w:rsidRPr="00744841" w:rsidRDefault="007A638A">
            <w:pPr>
              <w:spacing w:after="0"/>
              <w:jc w:val="left"/>
              <w:rPr>
                <w:rFonts w:cs="Arial"/>
                <w:color w:val="auto"/>
                <w:sz w:val="20"/>
                <w:szCs w:val="20"/>
                <w:lang w:val="es-ES"/>
              </w:rPr>
            </w:pPr>
            <w:r w:rsidRPr="00744841">
              <w:rPr>
                <w:rFonts w:cs="Arial"/>
                <w:color w:val="auto"/>
                <w:sz w:val="20"/>
                <w:szCs w:val="20"/>
                <w:lang w:val="es-ES"/>
              </w:rPr>
              <w:t>PC26 SR</w:t>
            </w:r>
          </w:p>
        </w:tc>
      </w:tr>
      <w:tr w:rsidR="00D54A66" w:rsidRPr="00744841" w14:paraId="1A40BB78" w14:textId="77777777">
        <w:trPr>
          <w:trHeight w:val="238"/>
        </w:trPr>
        <w:tc>
          <w:tcPr>
            <w:tcW w:w="2261" w:type="dxa"/>
            <w:tcBorders>
              <w:top w:val="single" w:sz="4" w:space="0" w:color="000000" w:themeColor="text1"/>
              <w:left w:val="single" w:sz="4" w:space="0" w:color="000000" w:themeColor="text1"/>
              <w:bottom w:val="single" w:sz="4" w:space="0" w:color="000000" w:themeColor="text1"/>
              <w:right w:val="nil"/>
            </w:tcBorders>
            <w:shd w:val="clear" w:color="auto" w:fill="F2F2F2" w:themeFill="background1" w:themeFillShade="F2"/>
          </w:tcPr>
          <w:p w14:paraId="7A00D030" w14:textId="77777777" w:rsidR="007A638A" w:rsidRPr="00744841" w:rsidRDefault="007A638A">
            <w:pPr>
              <w:keepNext/>
              <w:spacing w:after="160"/>
              <w:jc w:val="left"/>
              <w:rPr>
                <w:rFonts w:cs="Arial"/>
                <w:color w:val="auto"/>
                <w:sz w:val="20"/>
                <w:szCs w:val="20"/>
                <w:lang w:val="es-ES"/>
              </w:rPr>
            </w:pPr>
          </w:p>
        </w:tc>
        <w:tc>
          <w:tcPr>
            <w:tcW w:w="4394" w:type="dxa"/>
            <w:tcBorders>
              <w:top w:val="single" w:sz="4" w:space="0" w:color="000000" w:themeColor="text1"/>
              <w:left w:val="nil"/>
              <w:bottom w:val="single" w:sz="4" w:space="0" w:color="000000" w:themeColor="text1"/>
              <w:right w:val="nil"/>
            </w:tcBorders>
            <w:shd w:val="clear" w:color="auto" w:fill="F2F2F2" w:themeFill="background1" w:themeFillShade="F2"/>
          </w:tcPr>
          <w:p w14:paraId="0C3FA851" w14:textId="1136DF92" w:rsidR="007A638A" w:rsidRPr="00744841" w:rsidRDefault="00906C38" w:rsidP="00906C38">
            <w:pPr>
              <w:keepNext/>
              <w:spacing w:after="0"/>
              <w:ind w:left="641"/>
              <w:jc w:val="center"/>
              <w:rPr>
                <w:rFonts w:cs="Arial"/>
                <w:color w:val="auto"/>
                <w:sz w:val="20"/>
                <w:szCs w:val="20"/>
                <w:lang w:val="es-ES"/>
              </w:rPr>
            </w:pPr>
            <w:r w:rsidRPr="00744841">
              <w:rPr>
                <w:rFonts w:cs="Arial"/>
                <w:b/>
                <w:color w:val="auto"/>
                <w:sz w:val="20"/>
                <w:szCs w:val="20"/>
                <w:lang w:val="es-ES"/>
              </w:rPr>
              <w:t>Cumplimiento</w:t>
            </w:r>
            <w:r w:rsidR="007A638A" w:rsidRPr="00744841">
              <w:rPr>
                <w:rFonts w:cs="Arial"/>
                <w:b/>
                <w:color w:val="auto"/>
                <w:sz w:val="20"/>
                <w:szCs w:val="20"/>
                <w:lang w:val="es-ES"/>
              </w:rPr>
              <w:t xml:space="preserve"> </w:t>
            </w:r>
          </w:p>
        </w:tc>
        <w:tc>
          <w:tcPr>
            <w:tcW w:w="2971" w:type="dxa"/>
            <w:tcBorders>
              <w:top w:val="single" w:sz="4" w:space="0" w:color="000000" w:themeColor="text1"/>
              <w:left w:val="nil"/>
              <w:bottom w:val="single" w:sz="4" w:space="0" w:color="000000" w:themeColor="text1"/>
              <w:right w:val="single" w:sz="4" w:space="0" w:color="000000" w:themeColor="text1"/>
            </w:tcBorders>
            <w:shd w:val="clear" w:color="auto" w:fill="F2F2F2" w:themeFill="background1" w:themeFillShade="F2"/>
          </w:tcPr>
          <w:p w14:paraId="0128EE0B" w14:textId="77777777" w:rsidR="007A638A" w:rsidRPr="00744841" w:rsidRDefault="007A638A">
            <w:pPr>
              <w:keepNext/>
              <w:spacing w:after="160"/>
              <w:jc w:val="left"/>
              <w:rPr>
                <w:rFonts w:cs="Arial"/>
                <w:color w:val="auto"/>
                <w:sz w:val="20"/>
                <w:szCs w:val="20"/>
                <w:lang w:val="es-ES"/>
              </w:rPr>
            </w:pPr>
          </w:p>
        </w:tc>
      </w:tr>
      <w:tr w:rsidR="00D54A66" w:rsidRPr="00E428FD" w14:paraId="016DFE30" w14:textId="77777777">
        <w:trPr>
          <w:trHeight w:val="701"/>
        </w:trPr>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64A929" w14:textId="510B33FF" w:rsidR="007A638A" w:rsidRPr="00744841" w:rsidRDefault="007A638A">
            <w:pPr>
              <w:spacing w:after="0"/>
              <w:jc w:val="left"/>
              <w:rPr>
                <w:rFonts w:cs="Arial"/>
                <w:color w:val="auto"/>
                <w:sz w:val="20"/>
                <w:szCs w:val="20"/>
                <w:lang w:val="es-ES"/>
              </w:rPr>
            </w:pPr>
            <w:r w:rsidRPr="00744841">
              <w:rPr>
                <w:rFonts w:cs="Arial"/>
                <w:color w:val="auto"/>
                <w:sz w:val="20"/>
                <w:szCs w:val="20"/>
                <w:lang w:val="es-ES"/>
              </w:rPr>
              <w:t xml:space="preserve">19.71 </w:t>
            </w:r>
            <w:r w:rsidR="00566EA5" w:rsidRPr="00744841">
              <w:rPr>
                <w:rFonts w:cs="Arial"/>
                <w:color w:val="auto"/>
                <w:sz w:val="20"/>
                <w:szCs w:val="20"/>
                <w:lang w:val="es-ES"/>
              </w:rPr>
              <w:t>a</w:t>
            </w:r>
            <w:r w:rsidRPr="00744841">
              <w:rPr>
                <w:rFonts w:cs="Arial"/>
                <w:color w:val="auto"/>
                <w:sz w:val="20"/>
                <w:szCs w:val="20"/>
                <w:lang w:val="es-ES"/>
              </w:rPr>
              <w:t xml:space="preserve"> 19.73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DBABD3" w14:textId="2E4B47A1" w:rsidR="003666C5" w:rsidRPr="00744841" w:rsidRDefault="00906C38" w:rsidP="00906C38">
            <w:pPr>
              <w:tabs>
                <w:tab w:val="center" w:pos="1694"/>
                <w:tab w:val="center" w:pos="2711"/>
                <w:tab w:val="right" w:pos="4251"/>
              </w:tabs>
              <w:spacing w:after="0"/>
              <w:jc w:val="left"/>
              <w:rPr>
                <w:rFonts w:cs="Arial"/>
                <w:color w:val="auto"/>
                <w:sz w:val="20"/>
                <w:szCs w:val="20"/>
                <w:lang w:val="es-ES"/>
              </w:rPr>
            </w:pPr>
            <w:r w:rsidRPr="00744841">
              <w:rPr>
                <w:rFonts w:cs="Arial"/>
                <w:color w:val="auto"/>
                <w:sz w:val="20"/>
                <w:szCs w:val="20"/>
                <w:lang w:val="es-ES"/>
              </w:rPr>
              <w:t>Palisandros y palos de rosa (</w:t>
            </w:r>
            <w:proofErr w:type="spellStart"/>
            <w:r w:rsidRPr="00744841">
              <w:rPr>
                <w:rFonts w:cs="Arial"/>
                <w:i/>
                <w:color w:val="auto"/>
                <w:sz w:val="20"/>
                <w:szCs w:val="20"/>
                <w:lang w:val="es-ES"/>
              </w:rPr>
              <w:t>Dalbergia</w:t>
            </w:r>
            <w:proofErr w:type="spellEnd"/>
            <w:r w:rsidRPr="00744841">
              <w:rPr>
                <w:rFonts w:cs="Arial"/>
                <w:color w:val="auto"/>
                <w:sz w:val="20"/>
                <w:szCs w:val="20"/>
                <w:lang w:val="es-ES"/>
              </w:rPr>
              <w:t xml:space="preserve"> </w:t>
            </w:r>
            <w:proofErr w:type="spellStart"/>
            <w:r w:rsidRPr="00744841">
              <w:rPr>
                <w:rFonts w:cs="Arial"/>
                <w:color w:val="auto"/>
                <w:sz w:val="20"/>
                <w:szCs w:val="20"/>
                <w:lang w:val="es-ES"/>
              </w:rPr>
              <w:t>spp</w:t>
            </w:r>
            <w:proofErr w:type="spellEnd"/>
            <w:r w:rsidRPr="00744841">
              <w:rPr>
                <w:rFonts w:cs="Arial"/>
                <w:color w:val="auto"/>
                <w:sz w:val="20"/>
                <w:szCs w:val="20"/>
                <w:lang w:val="es-ES"/>
              </w:rPr>
              <w:t>.) y ébanos (</w:t>
            </w:r>
            <w:proofErr w:type="spellStart"/>
            <w:r w:rsidRPr="00744841">
              <w:rPr>
                <w:rFonts w:cs="Arial"/>
                <w:i/>
                <w:color w:val="auto"/>
                <w:sz w:val="20"/>
                <w:szCs w:val="20"/>
                <w:lang w:val="es-ES"/>
              </w:rPr>
              <w:t>Diospyros</w:t>
            </w:r>
            <w:proofErr w:type="spellEnd"/>
            <w:r w:rsidRPr="00744841">
              <w:rPr>
                <w:rFonts w:cs="Arial"/>
                <w:color w:val="auto"/>
                <w:sz w:val="20"/>
                <w:szCs w:val="20"/>
                <w:lang w:val="es-ES"/>
              </w:rPr>
              <w:t xml:space="preserve"> </w:t>
            </w:r>
            <w:proofErr w:type="spellStart"/>
            <w:r w:rsidRPr="00744841">
              <w:rPr>
                <w:rFonts w:cs="Arial"/>
                <w:color w:val="auto"/>
                <w:sz w:val="20"/>
                <w:szCs w:val="20"/>
                <w:lang w:val="es-ES"/>
              </w:rPr>
              <w:t>spp</w:t>
            </w:r>
            <w:proofErr w:type="spellEnd"/>
            <w:r w:rsidRPr="00744841">
              <w:rPr>
                <w:rFonts w:cs="Arial"/>
                <w:color w:val="auto"/>
                <w:sz w:val="20"/>
                <w:szCs w:val="20"/>
                <w:lang w:val="es-ES"/>
              </w:rPr>
              <w:t>.) de Madagascar</w:t>
            </w:r>
            <w:r w:rsidR="007A638A" w:rsidRPr="00744841">
              <w:rPr>
                <w:rFonts w:cs="Arial"/>
                <w:color w:val="auto"/>
                <w:sz w:val="20"/>
                <w:szCs w:val="20"/>
                <w:lang w:val="es-ES"/>
              </w:rPr>
              <w:t xml:space="preserve"> </w:t>
            </w:r>
          </w:p>
          <w:p w14:paraId="396466F0" w14:textId="7262B8A5" w:rsidR="007A638A" w:rsidRPr="00744841" w:rsidRDefault="007A638A">
            <w:pPr>
              <w:spacing w:after="0"/>
              <w:jc w:val="left"/>
              <w:rPr>
                <w:rFonts w:cs="Arial"/>
                <w:color w:val="auto"/>
                <w:sz w:val="20"/>
                <w:szCs w:val="20"/>
                <w:lang w:val="es-ES"/>
              </w:rPr>
            </w:pPr>
            <w:r w:rsidRPr="00744841">
              <w:rPr>
                <w:rFonts w:cs="Arial"/>
                <w:color w:val="auto"/>
                <w:sz w:val="20"/>
                <w:szCs w:val="20"/>
                <w:lang w:val="es-ES"/>
              </w:rPr>
              <w:t>(</w:t>
            </w:r>
            <w:proofErr w:type="spellStart"/>
            <w:r w:rsidRPr="00744841">
              <w:rPr>
                <w:rFonts w:cs="Arial"/>
                <w:i/>
                <w:color w:val="auto"/>
                <w:sz w:val="20"/>
                <w:szCs w:val="20"/>
                <w:lang w:val="es-ES"/>
              </w:rPr>
              <w:t>Dalbergia</w:t>
            </w:r>
            <w:proofErr w:type="spellEnd"/>
            <w:r w:rsidRPr="00744841">
              <w:rPr>
                <w:rFonts w:cs="Arial"/>
                <w:color w:val="auto"/>
                <w:sz w:val="20"/>
                <w:szCs w:val="20"/>
                <w:lang w:val="es-ES"/>
              </w:rPr>
              <w:t xml:space="preserve"> </w:t>
            </w:r>
            <w:proofErr w:type="spellStart"/>
            <w:r w:rsidRPr="00744841">
              <w:rPr>
                <w:rFonts w:cs="Arial"/>
                <w:color w:val="auto"/>
                <w:sz w:val="20"/>
                <w:szCs w:val="20"/>
                <w:lang w:val="es-ES"/>
              </w:rPr>
              <w:t>spp</w:t>
            </w:r>
            <w:proofErr w:type="spellEnd"/>
            <w:r w:rsidRPr="00744841">
              <w:rPr>
                <w:rFonts w:cs="Arial"/>
                <w:color w:val="auto"/>
                <w:sz w:val="20"/>
                <w:szCs w:val="20"/>
                <w:lang w:val="es-ES"/>
              </w:rPr>
              <w:t xml:space="preserve">.) </w:t>
            </w:r>
            <w:r w:rsidR="00E65296" w:rsidRPr="00744841">
              <w:rPr>
                <w:rFonts w:cs="Arial"/>
                <w:color w:val="auto"/>
                <w:sz w:val="20"/>
                <w:szCs w:val="20"/>
                <w:lang w:val="es-ES"/>
              </w:rPr>
              <w:t>y ébanos</w:t>
            </w:r>
            <w:r w:rsidRPr="00744841">
              <w:rPr>
                <w:rFonts w:cs="Arial"/>
                <w:color w:val="auto"/>
                <w:sz w:val="20"/>
                <w:szCs w:val="20"/>
                <w:lang w:val="es-ES"/>
              </w:rPr>
              <w:t xml:space="preserve"> (</w:t>
            </w:r>
            <w:proofErr w:type="spellStart"/>
            <w:r w:rsidRPr="00744841">
              <w:rPr>
                <w:rFonts w:cs="Arial"/>
                <w:i/>
                <w:color w:val="auto"/>
                <w:sz w:val="20"/>
                <w:szCs w:val="20"/>
                <w:lang w:val="es-ES"/>
              </w:rPr>
              <w:t>Diospyros</w:t>
            </w:r>
            <w:proofErr w:type="spellEnd"/>
            <w:r w:rsidRPr="00744841">
              <w:rPr>
                <w:rFonts w:cs="Arial"/>
                <w:color w:val="auto"/>
                <w:sz w:val="20"/>
                <w:szCs w:val="20"/>
                <w:lang w:val="es-ES"/>
              </w:rPr>
              <w:t xml:space="preserve"> </w:t>
            </w:r>
            <w:proofErr w:type="spellStart"/>
            <w:r w:rsidRPr="00744841">
              <w:rPr>
                <w:rFonts w:cs="Arial"/>
                <w:color w:val="auto"/>
                <w:sz w:val="20"/>
                <w:szCs w:val="20"/>
                <w:lang w:val="es-ES"/>
              </w:rPr>
              <w:t>spp</w:t>
            </w:r>
            <w:proofErr w:type="spellEnd"/>
            <w:r w:rsidRPr="00744841">
              <w:rPr>
                <w:rFonts w:cs="Arial"/>
                <w:color w:val="auto"/>
                <w:sz w:val="20"/>
                <w:szCs w:val="20"/>
                <w:lang w:val="es-ES"/>
              </w:rPr>
              <w:t xml:space="preserve">.) </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DCE3E" w14:textId="6826EE13" w:rsidR="007A638A" w:rsidRPr="00744841" w:rsidRDefault="00906C38" w:rsidP="00906C38">
            <w:pPr>
              <w:spacing w:after="0"/>
              <w:ind w:right="72"/>
              <w:rPr>
                <w:rFonts w:cs="Arial"/>
                <w:color w:val="auto"/>
                <w:sz w:val="20"/>
                <w:szCs w:val="20"/>
                <w:lang w:val="es-ES"/>
              </w:rPr>
            </w:pPr>
            <w:r w:rsidRPr="00744841">
              <w:rPr>
                <w:rFonts w:cs="Arial"/>
                <w:color w:val="auto"/>
                <w:sz w:val="20"/>
                <w:szCs w:val="20"/>
                <w:lang w:val="es-ES"/>
              </w:rPr>
              <w:t>Se abordará en la 77ª reunión del Comité Permanente (SC77).</w:t>
            </w:r>
            <w:r w:rsidR="007A638A" w:rsidRPr="00744841">
              <w:rPr>
                <w:rFonts w:cs="Arial"/>
                <w:color w:val="auto"/>
                <w:sz w:val="20"/>
                <w:szCs w:val="20"/>
                <w:lang w:val="es-ES"/>
              </w:rPr>
              <w:t xml:space="preserve"> </w:t>
            </w:r>
          </w:p>
        </w:tc>
      </w:tr>
      <w:tr w:rsidR="00D54A66" w:rsidRPr="00744841" w14:paraId="10BEB388" w14:textId="77777777">
        <w:trPr>
          <w:trHeight w:val="238"/>
        </w:trPr>
        <w:tc>
          <w:tcPr>
            <w:tcW w:w="2261" w:type="dxa"/>
            <w:tcBorders>
              <w:top w:val="single" w:sz="4" w:space="0" w:color="000000" w:themeColor="text1"/>
              <w:left w:val="single" w:sz="4" w:space="0" w:color="000000" w:themeColor="text1"/>
              <w:bottom w:val="single" w:sz="4" w:space="0" w:color="000000" w:themeColor="text1"/>
              <w:right w:val="nil"/>
            </w:tcBorders>
            <w:shd w:val="clear" w:color="auto" w:fill="F2F2F2" w:themeFill="background1" w:themeFillShade="F2"/>
          </w:tcPr>
          <w:p w14:paraId="73BD2CDC" w14:textId="77777777" w:rsidR="007A638A" w:rsidRPr="00744841" w:rsidRDefault="007A638A">
            <w:pPr>
              <w:spacing w:after="160"/>
              <w:jc w:val="left"/>
              <w:rPr>
                <w:rFonts w:cs="Arial"/>
                <w:color w:val="auto"/>
                <w:sz w:val="20"/>
                <w:szCs w:val="20"/>
                <w:lang w:val="es-ES"/>
              </w:rPr>
            </w:pPr>
          </w:p>
        </w:tc>
        <w:tc>
          <w:tcPr>
            <w:tcW w:w="4394" w:type="dxa"/>
            <w:tcBorders>
              <w:top w:val="single" w:sz="4" w:space="0" w:color="000000" w:themeColor="text1"/>
              <w:left w:val="nil"/>
              <w:bottom w:val="single" w:sz="4" w:space="0" w:color="000000" w:themeColor="text1"/>
              <w:right w:val="nil"/>
            </w:tcBorders>
            <w:shd w:val="clear" w:color="auto" w:fill="F2F2F2" w:themeFill="background1" w:themeFillShade="F2"/>
          </w:tcPr>
          <w:p w14:paraId="3B6EE152" w14:textId="33822D99" w:rsidR="007A638A" w:rsidRPr="00744841" w:rsidRDefault="00906C38" w:rsidP="00906C38">
            <w:pPr>
              <w:spacing w:after="0"/>
              <w:ind w:left="638"/>
              <w:jc w:val="center"/>
              <w:rPr>
                <w:rFonts w:cs="Arial"/>
                <w:color w:val="auto"/>
                <w:sz w:val="20"/>
                <w:szCs w:val="20"/>
                <w:lang w:val="es-ES"/>
              </w:rPr>
            </w:pPr>
            <w:r w:rsidRPr="00744841">
              <w:rPr>
                <w:rFonts w:cs="Arial"/>
                <w:b/>
                <w:color w:val="auto"/>
                <w:sz w:val="20"/>
                <w:szCs w:val="20"/>
                <w:lang w:val="es-ES"/>
              </w:rPr>
              <w:t>Reglamentación del comercio</w:t>
            </w:r>
            <w:r w:rsidR="007A638A" w:rsidRPr="00744841">
              <w:rPr>
                <w:rFonts w:cs="Arial"/>
                <w:color w:val="auto"/>
                <w:sz w:val="20"/>
                <w:szCs w:val="20"/>
                <w:lang w:val="es-ES"/>
              </w:rPr>
              <w:t xml:space="preserve"> </w:t>
            </w:r>
          </w:p>
        </w:tc>
        <w:tc>
          <w:tcPr>
            <w:tcW w:w="2971" w:type="dxa"/>
            <w:tcBorders>
              <w:top w:val="single" w:sz="4" w:space="0" w:color="000000" w:themeColor="text1"/>
              <w:left w:val="nil"/>
              <w:bottom w:val="single" w:sz="4" w:space="0" w:color="000000" w:themeColor="text1"/>
              <w:right w:val="single" w:sz="4" w:space="0" w:color="000000" w:themeColor="text1"/>
            </w:tcBorders>
            <w:shd w:val="clear" w:color="auto" w:fill="F2F2F2" w:themeFill="background1" w:themeFillShade="F2"/>
          </w:tcPr>
          <w:p w14:paraId="27C6CD4C" w14:textId="77777777" w:rsidR="007A638A" w:rsidRPr="00744841" w:rsidRDefault="007A638A">
            <w:pPr>
              <w:spacing w:after="160"/>
              <w:jc w:val="left"/>
              <w:rPr>
                <w:rFonts w:cs="Arial"/>
                <w:color w:val="auto"/>
                <w:sz w:val="20"/>
                <w:szCs w:val="20"/>
                <w:lang w:val="es-ES"/>
              </w:rPr>
            </w:pPr>
          </w:p>
        </w:tc>
      </w:tr>
      <w:tr w:rsidR="00D54A66" w:rsidRPr="00744841" w14:paraId="7609F40C" w14:textId="77777777">
        <w:trPr>
          <w:trHeight w:val="472"/>
        </w:trPr>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A107D" w14:textId="07A89087" w:rsidR="007A638A" w:rsidRPr="00744841" w:rsidRDefault="007A638A">
            <w:pPr>
              <w:spacing w:after="0"/>
              <w:jc w:val="left"/>
              <w:rPr>
                <w:rFonts w:cs="Arial"/>
                <w:color w:val="auto"/>
                <w:sz w:val="20"/>
                <w:szCs w:val="20"/>
                <w:lang w:val="es-ES"/>
              </w:rPr>
            </w:pPr>
            <w:r w:rsidRPr="00744841">
              <w:rPr>
                <w:rFonts w:cs="Arial"/>
                <w:color w:val="auto"/>
                <w:sz w:val="20"/>
                <w:szCs w:val="20"/>
                <w:lang w:val="es-ES"/>
              </w:rPr>
              <w:t xml:space="preserve">19.145 </w:t>
            </w:r>
            <w:r w:rsidR="00566EA5" w:rsidRPr="00744841">
              <w:rPr>
                <w:rFonts w:cs="Arial"/>
                <w:color w:val="auto"/>
                <w:sz w:val="20"/>
                <w:szCs w:val="20"/>
                <w:lang w:val="es-ES"/>
              </w:rPr>
              <w:t>a</w:t>
            </w:r>
            <w:r w:rsidRPr="00744841">
              <w:rPr>
                <w:rFonts w:cs="Arial"/>
                <w:color w:val="auto"/>
                <w:sz w:val="20"/>
                <w:szCs w:val="20"/>
                <w:lang w:val="es-ES"/>
              </w:rPr>
              <w:t xml:space="preserve">19.148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57926E" w14:textId="6594179B" w:rsidR="007A638A" w:rsidRPr="00744841" w:rsidRDefault="00906C38" w:rsidP="00906C38">
            <w:pPr>
              <w:spacing w:after="0"/>
              <w:jc w:val="left"/>
              <w:rPr>
                <w:rFonts w:cs="Arial"/>
                <w:color w:val="auto"/>
                <w:sz w:val="20"/>
                <w:szCs w:val="20"/>
                <w:lang w:val="es-ES"/>
              </w:rPr>
            </w:pPr>
            <w:r w:rsidRPr="00744841">
              <w:rPr>
                <w:rFonts w:cs="Arial"/>
                <w:color w:val="auto"/>
                <w:sz w:val="20"/>
                <w:szCs w:val="20"/>
                <w:lang w:val="es-ES"/>
              </w:rPr>
              <w:t>Identificación de la madera y otros productos madereros</w:t>
            </w:r>
            <w:r w:rsidR="007A638A" w:rsidRPr="00744841">
              <w:rPr>
                <w:rFonts w:cs="Arial"/>
                <w:color w:val="auto"/>
                <w:sz w:val="20"/>
                <w:szCs w:val="20"/>
                <w:lang w:val="es-ES"/>
              </w:rPr>
              <w:t xml:space="preserve"> </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DF569" w14:textId="0AA9981B" w:rsidR="003666C5" w:rsidRPr="00744841" w:rsidRDefault="002D6840" w:rsidP="002D6840">
            <w:pPr>
              <w:spacing w:after="0"/>
              <w:rPr>
                <w:rFonts w:cs="Arial"/>
                <w:color w:val="auto"/>
                <w:sz w:val="20"/>
                <w:szCs w:val="20"/>
                <w:lang w:val="es-ES"/>
              </w:rPr>
            </w:pPr>
            <w:r w:rsidRPr="00744841">
              <w:rPr>
                <w:rFonts w:cs="Arial"/>
                <w:color w:val="auto"/>
                <w:sz w:val="20"/>
                <w:szCs w:val="20"/>
                <w:lang w:val="es-ES"/>
              </w:rPr>
              <w:t>PC26 Doc. 20 (véase también la Sección 3 del presente Anexo)</w:t>
            </w:r>
            <w:r w:rsidR="007A638A" w:rsidRPr="00744841">
              <w:rPr>
                <w:rFonts w:cs="Arial"/>
                <w:color w:val="auto"/>
                <w:sz w:val="20"/>
                <w:szCs w:val="20"/>
                <w:lang w:val="es-ES"/>
              </w:rPr>
              <w:t xml:space="preserve"> </w:t>
            </w:r>
          </w:p>
          <w:p w14:paraId="54D477EF" w14:textId="78049751" w:rsidR="007A638A" w:rsidRPr="00744841" w:rsidRDefault="007A638A">
            <w:pPr>
              <w:spacing w:after="0"/>
              <w:jc w:val="left"/>
              <w:rPr>
                <w:rFonts w:cs="Arial"/>
                <w:color w:val="auto"/>
                <w:sz w:val="20"/>
                <w:szCs w:val="20"/>
                <w:lang w:val="es-ES"/>
              </w:rPr>
            </w:pPr>
            <w:r w:rsidRPr="00744841">
              <w:rPr>
                <w:rFonts w:cs="Arial"/>
                <w:color w:val="auto"/>
                <w:sz w:val="20"/>
                <w:szCs w:val="20"/>
                <w:lang w:val="es-ES"/>
              </w:rPr>
              <w:t>PC26 SR</w:t>
            </w:r>
          </w:p>
        </w:tc>
      </w:tr>
      <w:tr w:rsidR="00D54A66" w:rsidRPr="00E428FD" w14:paraId="49416EFC" w14:textId="77777777">
        <w:trPr>
          <w:trHeight w:val="240"/>
        </w:trPr>
        <w:tc>
          <w:tcPr>
            <w:tcW w:w="2261" w:type="dxa"/>
            <w:tcBorders>
              <w:top w:val="single" w:sz="4" w:space="0" w:color="000000" w:themeColor="text1"/>
              <w:left w:val="single" w:sz="4" w:space="0" w:color="000000" w:themeColor="text1"/>
              <w:bottom w:val="single" w:sz="4" w:space="0" w:color="000000" w:themeColor="text1"/>
              <w:right w:val="nil"/>
            </w:tcBorders>
          </w:tcPr>
          <w:p w14:paraId="76E46399" w14:textId="77777777" w:rsidR="007A638A" w:rsidRPr="00744841" w:rsidRDefault="007A638A">
            <w:pPr>
              <w:spacing w:after="160"/>
              <w:jc w:val="left"/>
              <w:rPr>
                <w:rFonts w:cs="Arial"/>
                <w:color w:val="auto"/>
                <w:sz w:val="20"/>
                <w:szCs w:val="20"/>
                <w:lang w:val="es-ES"/>
              </w:rPr>
            </w:pPr>
          </w:p>
        </w:tc>
        <w:tc>
          <w:tcPr>
            <w:tcW w:w="4394" w:type="dxa"/>
            <w:tcBorders>
              <w:top w:val="single" w:sz="4" w:space="0" w:color="000000" w:themeColor="text1"/>
              <w:left w:val="nil"/>
              <w:bottom w:val="single" w:sz="4" w:space="0" w:color="000000" w:themeColor="text1"/>
              <w:right w:val="nil"/>
            </w:tcBorders>
          </w:tcPr>
          <w:p w14:paraId="32CDCC82" w14:textId="6B4F793F" w:rsidR="007A638A" w:rsidRPr="00744841" w:rsidRDefault="002D6840" w:rsidP="008B1E3C">
            <w:pPr>
              <w:spacing w:after="0"/>
              <w:ind w:right="57"/>
              <w:jc w:val="center"/>
              <w:rPr>
                <w:rFonts w:cs="Arial"/>
                <w:color w:val="auto"/>
                <w:sz w:val="20"/>
                <w:szCs w:val="20"/>
                <w:lang w:val="es-ES"/>
              </w:rPr>
            </w:pPr>
            <w:r w:rsidRPr="00744841">
              <w:rPr>
                <w:rFonts w:cs="Arial"/>
                <w:i/>
                <w:color w:val="auto"/>
                <w:sz w:val="20"/>
                <w:szCs w:val="20"/>
                <w:u w:val="single"/>
                <w:lang w:val="es-ES"/>
              </w:rPr>
              <w:t>Exenciones y disposiciones especiales al comercio</w:t>
            </w:r>
          </w:p>
        </w:tc>
        <w:tc>
          <w:tcPr>
            <w:tcW w:w="2971" w:type="dxa"/>
            <w:tcBorders>
              <w:top w:val="single" w:sz="4" w:space="0" w:color="000000" w:themeColor="text1"/>
              <w:left w:val="nil"/>
              <w:bottom w:val="single" w:sz="4" w:space="0" w:color="000000" w:themeColor="text1"/>
              <w:right w:val="single" w:sz="4" w:space="0" w:color="000000" w:themeColor="text1"/>
            </w:tcBorders>
          </w:tcPr>
          <w:p w14:paraId="1C2B6EAC" w14:textId="77777777" w:rsidR="007A638A" w:rsidRPr="00744841" w:rsidRDefault="007A638A">
            <w:pPr>
              <w:spacing w:after="160"/>
              <w:jc w:val="left"/>
              <w:rPr>
                <w:rFonts w:cs="Arial"/>
                <w:color w:val="auto"/>
                <w:sz w:val="20"/>
                <w:szCs w:val="20"/>
                <w:lang w:val="es-ES"/>
              </w:rPr>
            </w:pPr>
          </w:p>
        </w:tc>
      </w:tr>
      <w:tr w:rsidR="00D54A66" w:rsidRPr="00744841" w14:paraId="1F2BDDF7" w14:textId="77777777">
        <w:trPr>
          <w:trHeight w:val="241"/>
        </w:trPr>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BA3B8" w14:textId="54E54D5B" w:rsidR="007A638A" w:rsidRPr="00744841" w:rsidRDefault="007A638A">
            <w:pPr>
              <w:spacing w:after="0"/>
              <w:jc w:val="left"/>
              <w:rPr>
                <w:rFonts w:cs="Arial"/>
                <w:color w:val="auto"/>
                <w:sz w:val="20"/>
                <w:szCs w:val="20"/>
                <w:lang w:val="es-ES"/>
              </w:rPr>
            </w:pPr>
            <w:r w:rsidRPr="00744841">
              <w:rPr>
                <w:rFonts w:cs="Arial"/>
                <w:color w:val="auto"/>
                <w:sz w:val="20"/>
                <w:szCs w:val="20"/>
                <w:lang w:val="es-ES"/>
              </w:rPr>
              <w:t xml:space="preserve">19.182 </w:t>
            </w:r>
            <w:r w:rsidR="00566EA5" w:rsidRPr="00744841">
              <w:rPr>
                <w:rFonts w:cs="Arial"/>
                <w:color w:val="auto"/>
                <w:sz w:val="20"/>
                <w:szCs w:val="20"/>
                <w:lang w:val="es-ES"/>
              </w:rPr>
              <w:t>a</w:t>
            </w:r>
            <w:r w:rsidRPr="00744841">
              <w:rPr>
                <w:rFonts w:cs="Arial"/>
                <w:color w:val="auto"/>
                <w:sz w:val="20"/>
                <w:szCs w:val="20"/>
                <w:lang w:val="es-ES"/>
              </w:rPr>
              <w:t xml:space="preserve">19.183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4B271" w14:textId="60268F71" w:rsidR="007A638A" w:rsidRPr="00744841" w:rsidRDefault="002D6840" w:rsidP="002D6840">
            <w:pPr>
              <w:spacing w:after="0"/>
              <w:jc w:val="left"/>
              <w:rPr>
                <w:rFonts w:cs="Arial"/>
                <w:color w:val="auto"/>
                <w:sz w:val="20"/>
                <w:szCs w:val="20"/>
                <w:lang w:val="es-ES"/>
              </w:rPr>
            </w:pPr>
            <w:r w:rsidRPr="00744841">
              <w:rPr>
                <w:rFonts w:cs="Arial"/>
                <w:color w:val="auto"/>
                <w:sz w:val="20"/>
                <w:szCs w:val="20"/>
                <w:lang w:val="es-ES"/>
              </w:rPr>
              <w:t>Orientación sobre la expresión “reproducido artificialmente”</w:t>
            </w:r>
            <w:r w:rsidR="007A638A" w:rsidRPr="00744841">
              <w:rPr>
                <w:rFonts w:cs="Arial"/>
                <w:color w:val="auto"/>
                <w:sz w:val="20"/>
                <w:szCs w:val="20"/>
                <w:lang w:val="es-ES"/>
              </w:rPr>
              <w:t xml:space="preserve"> </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B23C7F" w14:textId="77777777" w:rsidR="003666C5" w:rsidRPr="00744841" w:rsidRDefault="007A638A">
            <w:pPr>
              <w:spacing w:after="0"/>
              <w:jc w:val="left"/>
              <w:rPr>
                <w:rFonts w:cs="Arial"/>
                <w:color w:val="auto"/>
                <w:sz w:val="20"/>
                <w:szCs w:val="20"/>
                <w:lang w:val="es-ES"/>
              </w:rPr>
            </w:pPr>
            <w:r w:rsidRPr="00744841">
              <w:rPr>
                <w:rFonts w:cs="Arial"/>
                <w:color w:val="auto"/>
                <w:sz w:val="20"/>
                <w:szCs w:val="20"/>
                <w:lang w:val="es-ES"/>
              </w:rPr>
              <w:t xml:space="preserve">PC26 Doc. 24 </w:t>
            </w:r>
          </w:p>
          <w:p w14:paraId="7661C0BC" w14:textId="0A0973F5" w:rsidR="007A638A" w:rsidRPr="00744841" w:rsidRDefault="007A638A">
            <w:pPr>
              <w:spacing w:after="0"/>
              <w:jc w:val="left"/>
              <w:rPr>
                <w:rFonts w:cs="Arial"/>
                <w:color w:val="auto"/>
                <w:sz w:val="20"/>
                <w:szCs w:val="20"/>
                <w:lang w:val="es-ES"/>
              </w:rPr>
            </w:pPr>
            <w:r w:rsidRPr="00744841">
              <w:rPr>
                <w:rFonts w:cs="Arial"/>
                <w:color w:val="auto"/>
                <w:sz w:val="20"/>
                <w:szCs w:val="20"/>
                <w:lang w:val="es-ES"/>
              </w:rPr>
              <w:t>PC26 SR</w:t>
            </w:r>
          </w:p>
        </w:tc>
      </w:tr>
      <w:tr w:rsidR="00D54A66" w:rsidRPr="00E428FD" w14:paraId="0CC0FDD2" w14:textId="77777777">
        <w:trPr>
          <w:trHeight w:val="238"/>
        </w:trPr>
        <w:tc>
          <w:tcPr>
            <w:tcW w:w="2261" w:type="dxa"/>
            <w:tcBorders>
              <w:top w:val="single" w:sz="4" w:space="0" w:color="000000" w:themeColor="text1"/>
              <w:left w:val="single" w:sz="4" w:space="0" w:color="000000" w:themeColor="text1"/>
              <w:bottom w:val="single" w:sz="4" w:space="0" w:color="000000" w:themeColor="text1"/>
              <w:right w:val="nil"/>
            </w:tcBorders>
            <w:shd w:val="clear" w:color="auto" w:fill="F2F2F2" w:themeFill="background1" w:themeFillShade="F2"/>
          </w:tcPr>
          <w:p w14:paraId="70EF1555" w14:textId="77777777" w:rsidR="007A638A" w:rsidRPr="00744841" w:rsidRDefault="007A638A">
            <w:pPr>
              <w:spacing w:after="160"/>
              <w:jc w:val="left"/>
              <w:rPr>
                <w:rFonts w:cs="Arial"/>
                <w:color w:val="auto"/>
                <w:sz w:val="20"/>
                <w:szCs w:val="20"/>
                <w:lang w:val="es-ES"/>
              </w:rPr>
            </w:pPr>
          </w:p>
        </w:tc>
        <w:tc>
          <w:tcPr>
            <w:tcW w:w="4394" w:type="dxa"/>
            <w:tcBorders>
              <w:top w:val="single" w:sz="4" w:space="0" w:color="000000" w:themeColor="text1"/>
              <w:left w:val="nil"/>
              <w:bottom w:val="single" w:sz="4" w:space="0" w:color="000000" w:themeColor="text1"/>
              <w:right w:val="nil"/>
            </w:tcBorders>
            <w:shd w:val="clear" w:color="auto" w:fill="F2F2F2" w:themeFill="background1" w:themeFillShade="F2"/>
          </w:tcPr>
          <w:p w14:paraId="1F125E75" w14:textId="01FF2116" w:rsidR="007A638A" w:rsidRPr="00744841" w:rsidRDefault="002D6840" w:rsidP="002D6840">
            <w:pPr>
              <w:spacing w:after="0"/>
              <w:ind w:left="970"/>
              <w:jc w:val="left"/>
              <w:rPr>
                <w:rFonts w:cs="Arial"/>
                <w:color w:val="auto"/>
                <w:sz w:val="20"/>
                <w:szCs w:val="20"/>
                <w:lang w:val="es-ES"/>
              </w:rPr>
            </w:pPr>
            <w:r w:rsidRPr="00744841">
              <w:rPr>
                <w:rFonts w:cs="Arial"/>
                <w:b/>
                <w:color w:val="auto"/>
                <w:sz w:val="20"/>
                <w:szCs w:val="20"/>
                <w:lang w:val="es-ES"/>
              </w:rPr>
              <w:t xml:space="preserve">Conservación y comercio de especies </w:t>
            </w:r>
            <w:r w:rsidR="007A638A" w:rsidRPr="00744841">
              <w:rPr>
                <w:rFonts w:cs="Arial"/>
                <w:b/>
                <w:color w:val="auto"/>
                <w:sz w:val="20"/>
                <w:szCs w:val="20"/>
                <w:lang w:val="es-ES"/>
              </w:rPr>
              <w:t xml:space="preserve"> </w:t>
            </w:r>
          </w:p>
        </w:tc>
        <w:tc>
          <w:tcPr>
            <w:tcW w:w="2971" w:type="dxa"/>
            <w:tcBorders>
              <w:top w:val="single" w:sz="4" w:space="0" w:color="000000" w:themeColor="text1"/>
              <w:left w:val="nil"/>
              <w:bottom w:val="single" w:sz="4" w:space="0" w:color="000000" w:themeColor="text1"/>
              <w:right w:val="single" w:sz="4" w:space="0" w:color="000000" w:themeColor="text1"/>
            </w:tcBorders>
            <w:shd w:val="clear" w:color="auto" w:fill="F2F2F2" w:themeFill="background1" w:themeFillShade="F2"/>
          </w:tcPr>
          <w:p w14:paraId="1EBE7CA8" w14:textId="77777777" w:rsidR="007A638A" w:rsidRPr="00744841" w:rsidRDefault="007A638A">
            <w:pPr>
              <w:spacing w:after="160"/>
              <w:jc w:val="left"/>
              <w:rPr>
                <w:rFonts w:cs="Arial"/>
                <w:color w:val="auto"/>
                <w:sz w:val="20"/>
                <w:szCs w:val="20"/>
                <w:lang w:val="es-ES"/>
              </w:rPr>
            </w:pPr>
          </w:p>
        </w:tc>
      </w:tr>
      <w:tr w:rsidR="00D54A66" w:rsidRPr="00744841" w14:paraId="25600912" w14:textId="77777777">
        <w:trPr>
          <w:trHeight w:val="241"/>
        </w:trPr>
        <w:tc>
          <w:tcPr>
            <w:tcW w:w="2261" w:type="dxa"/>
            <w:tcBorders>
              <w:top w:val="single" w:sz="4" w:space="0" w:color="000000" w:themeColor="text1"/>
              <w:left w:val="single" w:sz="4" w:space="0" w:color="000000" w:themeColor="text1"/>
              <w:bottom w:val="single" w:sz="4" w:space="0" w:color="000000" w:themeColor="text1"/>
              <w:right w:val="nil"/>
            </w:tcBorders>
          </w:tcPr>
          <w:p w14:paraId="62D60B06" w14:textId="77777777" w:rsidR="007A638A" w:rsidRPr="00744841" w:rsidRDefault="007A638A">
            <w:pPr>
              <w:spacing w:after="160"/>
              <w:jc w:val="left"/>
              <w:rPr>
                <w:rFonts w:cs="Arial"/>
                <w:color w:val="auto"/>
                <w:sz w:val="20"/>
                <w:szCs w:val="20"/>
                <w:lang w:val="es-ES"/>
              </w:rPr>
            </w:pPr>
          </w:p>
        </w:tc>
        <w:tc>
          <w:tcPr>
            <w:tcW w:w="4394" w:type="dxa"/>
            <w:tcBorders>
              <w:top w:val="single" w:sz="4" w:space="0" w:color="000000" w:themeColor="text1"/>
              <w:left w:val="nil"/>
              <w:bottom w:val="single" w:sz="4" w:space="0" w:color="000000" w:themeColor="text1"/>
              <w:right w:val="nil"/>
            </w:tcBorders>
          </w:tcPr>
          <w:p w14:paraId="4871C5B0" w14:textId="77777777" w:rsidR="007A638A" w:rsidRPr="00744841" w:rsidRDefault="007A638A">
            <w:pPr>
              <w:spacing w:after="0"/>
              <w:ind w:left="641"/>
              <w:jc w:val="center"/>
              <w:rPr>
                <w:rFonts w:cs="Arial"/>
                <w:color w:val="auto"/>
                <w:sz w:val="20"/>
                <w:szCs w:val="20"/>
                <w:lang w:val="es-ES"/>
              </w:rPr>
            </w:pPr>
            <w:r w:rsidRPr="00744841">
              <w:rPr>
                <w:rFonts w:cs="Arial"/>
                <w:i/>
                <w:color w:val="auto"/>
                <w:sz w:val="20"/>
                <w:szCs w:val="20"/>
                <w:u w:val="single" w:color="000000"/>
                <w:lang w:val="es-ES"/>
              </w:rPr>
              <w:t>Flora</w:t>
            </w:r>
            <w:r w:rsidRPr="00744841">
              <w:rPr>
                <w:rFonts w:cs="Arial"/>
                <w:i/>
                <w:color w:val="auto"/>
                <w:sz w:val="20"/>
                <w:szCs w:val="20"/>
                <w:lang w:val="es-ES"/>
              </w:rPr>
              <w:t xml:space="preserve"> </w:t>
            </w:r>
          </w:p>
        </w:tc>
        <w:tc>
          <w:tcPr>
            <w:tcW w:w="2971" w:type="dxa"/>
            <w:tcBorders>
              <w:top w:val="single" w:sz="4" w:space="0" w:color="000000" w:themeColor="text1"/>
              <w:left w:val="nil"/>
              <w:bottom w:val="single" w:sz="4" w:space="0" w:color="000000" w:themeColor="text1"/>
              <w:right w:val="single" w:sz="4" w:space="0" w:color="000000" w:themeColor="text1"/>
            </w:tcBorders>
          </w:tcPr>
          <w:p w14:paraId="4FB9C8FA" w14:textId="77777777" w:rsidR="007A638A" w:rsidRPr="00744841" w:rsidRDefault="007A638A">
            <w:pPr>
              <w:spacing w:after="160"/>
              <w:jc w:val="left"/>
              <w:rPr>
                <w:rFonts w:cs="Arial"/>
                <w:color w:val="auto"/>
                <w:sz w:val="20"/>
                <w:szCs w:val="20"/>
                <w:lang w:val="es-ES"/>
              </w:rPr>
            </w:pPr>
          </w:p>
        </w:tc>
      </w:tr>
      <w:tr w:rsidR="00D54A66" w:rsidRPr="00744841" w14:paraId="4D2A81F9" w14:textId="77777777">
        <w:trPr>
          <w:trHeight w:val="470"/>
        </w:trPr>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48C0BE" w14:textId="48189EB7" w:rsidR="007A638A" w:rsidRPr="00744841" w:rsidRDefault="007A638A">
            <w:pPr>
              <w:spacing w:after="0"/>
              <w:jc w:val="left"/>
              <w:rPr>
                <w:rFonts w:cs="Arial"/>
                <w:color w:val="auto"/>
                <w:sz w:val="20"/>
                <w:szCs w:val="20"/>
                <w:lang w:val="es-ES"/>
              </w:rPr>
            </w:pPr>
            <w:r w:rsidRPr="00744841">
              <w:rPr>
                <w:rFonts w:cs="Arial"/>
                <w:color w:val="auto"/>
                <w:sz w:val="20"/>
                <w:szCs w:val="20"/>
                <w:lang w:val="es-ES"/>
              </w:rPr>
              <w:t xml:space="preserve">19.239 </w:t>
            </w:r>
            <w:r w:rsidR="00566EA5" w:rsidRPr="00744841">
              <w:rPr>
                <w:rFonts w:cs="Arial"/>
                <w:color w:val="auto"/>
                <w:sz w:val="20"/>
                <w:szCs w:val="20"/>
                <w:lang w:val="es-ES"/>
              </w:rPr>
              <w:t>a</w:t>
            </w:r>
            <w:r w:rsidRPr="00744841">
              <w:rPr>
                <w:rFonts w:cs="Arial"/>
                <w:color w:val="auto"/>
                <w:sz w:val="20"/>
                <w:szCs w:val="20"/>
                <w:lang w:val="es-ES"/>
              </w:rPr>
              <w:t xml:space="preserve"> 19.240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17249F" w14:textId="0D5D12A4" w:rsidR="007A638A" w:rsidRPr="00744841" w:rsidRDefault="002D6840" w:rsidP="002D6840">
            <w:pPr>
              <w:tabs>
                <w:tab w:val="center" w:pos="1436"/>
                <w:tab w:val="center" w:pos="2274"/>
                <w:tab w:val="right" w:pos="4251"/>
              </w:tabs>
              <w:spacing w:after="0"/>
              <w:jc w:val="left"/>
              <w:rPr>
                <w:rFonts w:cs="Arial"/>
                <w:color w:val="auto"/>
                <w:sz w:val="20"/>
                <w:szCs w:val="20"/>
                <w:lang w:val="es-ES"/>
              </w:rPr>
            </w:pPr>
            <w:proofErr w:type="spellStart"/>
            <w:r w:rsidRPr="00744841">
              <w:rPr>
                <w:rFonts w:cs="Arial"/>
                <w:color w:val="auto"/>
                <w:sz w:val="20"/>
                <w:szCs w:val="20"/>
                <w:lang w:val="es-ES"/>
              </w:rPr>
              <w:t>Taxa</w:t>
            </w:r>
            <w:proofErr w:type="spellEnd"/>
            <w:r w:rsidRPr="00744841">
              <w:rPr>
                <w:rFonts w:cs="Arial"/>
                <w:color w:val="auto"/>
                <w:sz w:val="20"/>
                <w:szCs w:val="20"/>
                <w:lang w:val="es-ES"/>
              </w:rPr>
              <w:t xml:space="preserve"> que producen madera de agar </w:t>
            </w:r>
            <w:r w:rsidRPr="00744841">
              <w:rPr>
                <w:rFonts w:cs="Arial"/>
                <w:i/>
                <w:color w:val="auto"/>
                <w:sz w:val="20"/>
                <w:szCs w:val="20"/>
                <w:lang w:val="es-ES"/>
              </w:rPr>
              <w:t>(</w:t>
            </w:r>
            <w:proofErr w:type="spellStart"/>
            <w:r w:rsidRPr="00744841">
              <w:rPr>
                <w:rFonts w:cs="Arial"/>
                <w:i/>
                <w:color w:val="auto"/>
                <w:sz w:val="20"/>
                <w:szCs w:val="20"/>
                <w:lang w:val="es-ES"/>
              </w:rPr>
              <w:t>Aquilaria</w:t>
            </w:r>
            <w:proofErr w:type="spellEnd"/>
            <w:r w:rsidRPr="00744841">
              <w:rPr>
                <w:rFonts w:cs="Arial"/>
                <w:color w:val="auto"/>
                <w:sz w:val="20"/>
                <w:szCs w:val="20"/>
                <w:lang w:val="es-ES"/>
              </w:rPr>
              <w:t xml:space="preserve"> </w:t>
            </w:r>
            <w:proofErr w:type="spellStart"/>
            <w:r w:rsidRPr="00744841">
              <w:rPr>
                <w:rFonts w:cs="Arial"/>
                <w:color w:val="auto"/>
                <w:sz w:val="20"/>
                <w:szCs w:val="20"/>
                <w:lang w:val="es-ES"/>
              </w:rPr>
              <w:t>spp</w:t>
            </w:r>
            <w:proofErr w:type="spellEnd"/>
            <w:r w:rsidRPr="00744841">
              <w:rPr>
                <w:rFonts w:cs="Arial"/>
                <w:color w:val="auto"/>
                <w:sz w:val="20"/>
                <w:szCs w:val="20"/>
                <w:lang w:val="es-ES"/>
              </w:rPr>
              <w:t xml:space="preserve">. y </w:t>
            </w:r>
            <w:proofErr w:type="spellStart"/>
            <w:r w:rsidRPr="00744841">
              <w:rPr>
                <w:rFonts w:cs="Arial"/>
                <w:i/>
                <w:color w:val="auto"/>
                <w:sz w:val="20"/>
                <w:szCs w:val="20"/>
                <w:lang w:val="es-ES"/>
              </w:rPr>
              <w:t>Gyrinops</w:t>
            </w:r>
            <w:proofErr w:type="spellEnd"/>
            <w:r w:rsidRPr="00744841">
              <w:rPr>
                <w:rFonts w:cs="Arial"/>
                <w:i/>
                <w:color w:val="auto"/>
                <w:sz w:val="20"/>
                <w:szCs w:val="20"/>
                <w:lang w:val="es-ES"/>
              </w:rPr>
              <w:t> </w:t>
            </w:r>
            <w:proofErr w:type="spellStart"/>
            <w:r w:rsidRPr="00744841">
              <w:rPr>
                <w:rFonts w:cs="Arial"/>
                <w:color w:val="auto"/>
                <w:sz w:val="20"/>
                <w:szCs w:val="20"/>
                <w:lang w:val="es-ES"/>
              </w:rPr>
              <w:t>spp</w:t>
            </w:r>
            <w:proofErr w:type="spellEnd"/>
            <w:r w:rsidRPr="00744841">
              <w:rPr>
                <w:rFonts w:cs="Arial"/>
                <w:color w:val="auto"/>
                <w:sz w:val="20"/>
                <w:szCs w:val="20"/>
                <w:lang w:val="es-ES"/>
              </w:rPr>
              <w:t>.)</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2DC5B" w14:textId="77777777" w:rsidR="003666C5" w:rsidRPr="00744841" w:rsidRDefault="007A638A">
            <w:pPr>
              <w:spacing w:after="0"/>
              <w:rPr>
                <w:rFonts w:cs="Arial"/>
                <w:color w:val="auto"/>
                <w:sz w:val="20"/>
                <w:szCs w:val="20"/>
                <w:lang w:val="es-ES"/>
              </w:rPr>
            </w:pPr>
            <w:r w:rsidRPr="00744841">
              <w:rPr>
                <w:rFonts w:cs="Arial"/>
                <w:color w:val="auto"/>
                <w:sz w:val="20"/>
                <w:szCs w:val="20"/>
                <w:lang w:val="es-ES"/>
              </w:rPr>
              <w:t>PC26 Doc. 27</w:t>
            </w:r>
          </w:p>
          <w:p w14:paraId="2DF28D7B" w14:textId="448358CF" w:rsidR="007A638A" w:rsidRPr="00744841" w:rsidRDefault="007A638A">
            <w:pPr>
              <w:spacing w:after="0"/>
              <w:jc w:val="left"/>
              <w:rPr>
                <w:rFonts w:cs="Arial"/>
                <w:color w:val="auto"/>
                <w:sz w:val="20"/>
                <w:szCs w:val="20"/>
                <w:lang w:val="es-ES"/>
              </w:rPr>
            </w:pPr>
            <w:r w:rsidRPr="00744841">
              <w:rPr>
                <w:rFonts w:cs="Arial"/>
                <w:color w:val="auto"/>
                <w:sz w:val="20"/>
                <w:szCs w:val="20"/>
                <w:lang w:val="es-ES"/>
              </w:rPr>
              <w:t>PC26 SR</w:t>
            </w:r>
          </w:p>
        </w:tc>
      </w:tr>
      <w:tr w:rsidR="00D54A66" w:rsidRPr="005B0944" w14:paraId="369D5F76" w14:textId="77777777">
        <w:trPr>
          <w:trHeight w:val="470"/>
        </w:trPr>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C90293" w14:textId="1F90FB03" w:rsidR="007A638A" w:rsidRPr="00744841" w:rsidRDefault="007A638A">
            <w:pPr>
              <w:spacing w:after="0"/>
              <w:jc w:val="left"/>
              <w:rPr>
                <w:rFonts w:cs="Arial"/>
                <w:color w:val="auto"/>
                <w:sz w:val="20"/>
                <w:szCs w:val="20"/>
                <w:lang w:val="es-ES"/>
              </w:rPr>
            </w:pPr>
            <w:r w:rsidRPr="00744841">
              <w:rPr>
                <w:rFonts w:cs="Arial"/>
                <w:color w:val="auto"/>
                <w:sz w:val="20"/>
                <w:szCs w:val="20"/>
                <w:lang w:val="es-ES"/>
              </w:rPr>
              <w:t xml:space="preserve">19.241 </w:t>
            </w:r>
            <w:r w:rsidR="00566EA5" w:rsidRPr="00744841">
              <w:rPr>
                <w:rFonts w:cs="Arial"/>
                <w:color w:val="auto"/>
                <w:sz w:val="20"/>
                <w:szCs w:val="20"/>
                <w:lang w:val="es-ES"/>
              </w:rPr>
              <w:t>y</w:t>
            </w:r>
            <w:r w:rsidRPr="00744841">
              <w:rPr>
                <w:rFonts w:cs="Arial"/>
                <w:color w:val="auto"/>
                <w:sz w:val="20"/>
                <w:szCs w:val="20"/>
                <w:lang w:val="es-ES"/>
              </w:rPr>
              <w:t xml:space="preserve"> 19.242</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4A86E" w14:textId="2ADAEE42" w:rsidR="007A638A" w:rsidRPr="00744841" w:rsidRDefault="002D6840" w:rsidP="002D6840">
            <w:pPr>
              <w:tabs>
                <w:tab w:val="center" w:pos="1436"/>
                <w:tab w:val="center" w:pos="2274"/>
                <w:tab w:val="right" w:pos="4251"/>
              </w:tabs>
              <w:spacing w:after="0"/>
              <w:jc w:val="left"/>
              <w:rPr>
                <w:rFonts w:cs="Arial"/>
                <w:color w:val="auto"/>
                <w:sz w:val="20"/>
                <w:szCs w:val="20"/>
                <w:lang w:val="es-ES"/>
              </w:rPr>
            </w:pPr>
            <w:proofErr w:type="spellStart"/>
            <w:r w:rsidRPr="00744841">
              <w:rPr>
                <w:rFonts w:cs="Arial"/>
                <w:color w:val="auto"/>
                <w:sz w:val="20"/>
                <w:szCs w:val="20"/>
                <w:lang w:val="es-ES"/>
              </w:rPr>
              <w:t>Boswellia</w:t>
            </w:r>
            <w:proofErr w:type="spellEnd"/>
            <w:r w:rsidRPr="00744841">
              <w:rPr>
                <w:rFonts w:cs="Arial"/>
                <w:color w:val="auto"/>
                <w:sz w:val="20"/>
                <w:szCs w:val="20"/>
                <w:lang w:val="es-ES"/>
              </w:rPr>
              <w:t xml:space="preserve"> (</w:t>
            </w:r>
            <w:proofErr w:type="spellStart"/>
            <w:r w:rsidRPr="00744841">
              <w:rPr>
                <w:rFonts w:cs="Arial"/>
                <w:color w:val="auto"/>
                <w:sz w:val="20"/>
                <w:szCs w:val="20"/>
                <w:lang w:val="es-ES"/>
              </w:rPr>
              <w:t>Boswellia</w:t>
            </w:r>
            <w:proofErr w:type="spellEnd"/>
            <w:r w:rsidRPr="00744841">
              <w:rPr>
                <w:rFonts w:cs="Arial"/>
                <w:color w:val="auto"/>
                <w:sz w:val="20"/>
                <w:szCs w:val="20"/>
                <w:lang w:val="es-ES"/>
              </w:rPr>
              <w:t xml:space="preserve"> </w:t>
            </w:r>
            <w:proofErr w:type="spellStart"/>
            <w:r w:rsidRPr="00744841">
              <w:rPr>
                <w:rFonts w:cs="Arial"/>
                <w:color w:val="auto"/>
                <w:sz w:val="20"/>
                <w:szCs w:val="20"/>
                <w:lang w:val="es-ES"/>
              </w:rPr>
              <w:t>spp</w:t>
            </w:r>
            <w:proofErr w:type="spellEnd"/>
            <w:r w:rsidRPr="00744841">
              <w:rPr>
                <w:rFonts w:cs="Arial"/>
                <w:color w:val="auto"/>
                <w:sz w:val="20"/>
                <w:szCs w:val="20"/>
                <w:lang w:val="es-ES"/>
              </w:rPr>
              <w:t>.)</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D08F4" w14:textId="77777777" w:rsidR="003666C5" w:rsidRPr="00744841" w:rsidRDefault="007A638A">
            <w:pPr>
              <w:spacing w:after="0"/>
              <w:rPr>
                <w:rFonts w:cs="Arial"/>
                <w:color w:val="auto"/>
                <w:sz w:val="20"/>
                <w:szCs w:val="20"/>
                <w:lang w:val="es-ES"/>
              </w:rPr>
            </w:pPr>
            <w:r w:rsidRPr="00744841">
              <w:rPr>
                <w:rFonts w:cs="Arial"/>
                <w:color w:val="auto"/>
                <w:sz w:val="20"/>
                <w:szCs w:val="20"/>
                <w:lang w:val="es-ES"/>
              </w:rPr>
              <w:t>PC26 Doc. 28.1</w:t>
            </w:r>
          </w:p>
          <w:p w14:paraId="3E86ED84" w14:textId="77777777" w:rsidR="003666C5" w:rsidRPr="00744841" w:rsidRDefault="007A638A">
            <w:pPr>
              <w:spacing w:after="0"/>
              <w:rPr>
                <w:rFonts w:cs="Arial"/>
                <w:color w:val="auto"/>
                <w:sz w:val="20"/>
                <w:szCs w:val="20"/>
                <w:lang w:val="es-ES"/>
              </w:rPr>
            </w:pPr>
            <w:r w:rsidRPr="00744841">
              <w:rPr>
                <w:rFonts w:cs="Arial"/>
                <w:color w:val="auto"/>
                <w:sz w:val="20"/>
                <w:szCs w:val="20"/>
                <w:lang w:val="es-ES"/>
              </w:rPr>
              <w:t>PC26 Doc. 28.2</w:t>
            </w:r>
          </w:p>
          <w:p w14:paraId="34944164" w14:textId="57F71FAC" w:rsidR="007A638A" w:rsidRPr="00744841" w:rsidRDefault="007A638A">
            <w:pPr>
              <w:spacing w:after="0"/>
              <w:jc w:val="left"/>
              <w:rPr>
                <w:rFonts w:cs="Arial"/>
                <w:color w:val="auto"/>
                <w:sz w:val="20"/>
                <w:szCs w:val="20"/>
                <w:lang w:val="es-ES"/>
              </w:rPr>
            </w:pPr>
            <w:r w:rsidRPr="00744841">
              <w:rPr>
                <w:rFonts w:cs="Arial"/>
                <w:color w:val="auto"/>
                <w:sz w:val="20"/>
                <w:szCs w:val="20"/>
                <w:lang w:val="es-ES"/>
              </w:rPr>
              <w:t>PC26 SR</w:t>
            </w:r>
          </w:p>
        </w:tc>
      </w:tr>
      <w:tr w:rsidR="00D54A66" w:rsidRPr="00744841" w14:paraId="04151896" w14:textId="77777777">
        <w:trPr>
          <w:trHeight w:val="470"/>
        </w:trPr>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40C4E" w14:textId="6958E49A" w:rsidR="007A638A" w:rsidRPr="00744841" w:rsidRDefault="007A638A">
            <w:pPr>
              <w:spacing w:after="0"/>
              <w:jc w:val="left"/>
              <w:rPr>
                <w:rFonts w:cs="Arial"/>
                <w:color w:val="auto"/>
                <w:sz w:val="20"/>
                <w:szCs w:val="20"/>
                <w:lang w:val="es-ES"/>
              </w:rPr>
            </w:pPr>
            <w:r w:rsidRPr="00744841">
              <w:rPr>
                <w:rFonts w:cs="Arial"/>
                <w:color w:val="auto"/>
                <w:sz w:val="20"/>
                <w:szCs w:val="20"/>
                <w:lang w:val="es-ES"/>
              </w:rPr>
              <w:t>19.243</w:t>
            </w:r>
            <w:r w:rsidR="00566EA5" w:rsidRPr="00744841">
              <w:rPr>
                <w:rFonts w:cs="Arial"/>
                <w:color w:val="auto"/>
                <w:sz w:val="20"/>
                <w:szCs w:val="20"/>
                <w:lang w:val="es-ES"/>
              </w:rPr>
              <w:t xml:space="preserve"> a</w:t>
            </w:r>
            <w:r w:rsidRPr="00744841">
              <w:rPr>
                <w:rFonts w:cs="Arial"/>
                <w:color w:val="auto"/>
                <w:sz w:val="20"/>
                <w:szCs w:val="20"/>
                <w:lang w:val="es-ES"/>
              </w:rPr>
              <w:t xml:space="preserve"> 19.245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4AE1C" w14:textId="307A9279" w:rsidR="007A638A" w:rsidRPr="00744841" w:rsidRDefault="00BC7517" w:rsidP="008B1E3C">
            <w:pPr>
              <w:tabs>
                <w:tab w:val="center" w:pos="1436"/>
                <w:tab w:val="center" w:pos="2274"/>
                <w:tab w:val="right" w:pos="4251"/>
              </w:tabs>
              <w:spacing w:after="0"/>
              <w:jc w:val="left"/>
              <w:rPr>
                <w:rFonts w:cs="Arial"/>
                <w:color w:val="auto"/>
                <w:sz w:val="20"/>
                <w:szCs w:val="20"/>
                <w:lang w:val="es-ES"/>
              </w:rPr>
            </w:pPr>
            <w:r w:rsidRPr="00744841">
              <w:rPr>
                <w:rFonts w:cs="Arial"/>
                <w:color w:val="auto"/>
                <w:sz w:val="20"/>
                <w:szCs w:val="20"/>
                <w:lang w:val="es-ES"/>
              </w:rPr>
              <w:t>Especies arbóreas de palo de rosa [</w:t>
            </w:r>
            <w:proofErr w:type="spellStart"/>
            <w:r w:rsidRPr="00744841">
              <w:rPr>
                <w:rFonts w:cs="Arial"/>
                <w:color w:val="auto"/>
                <w:sz w:val="20"/>
                <w:szCs w:val="20"/>
                <w:lang w:val="es-ES"/>
              </w:rPr>
              <w:t>Leguminosae</w:t>
            </w:r>
            <w:proofErr w:type="spellEnd"/>
            <w:r w:rsidRPr="00744841">
              <w:rPr>
                <w:rFonts w:cs="Arial"/>
                <w:color w:val="auto"/>
                <w:sz w:val="20"/>
                <w:szCs w:val="20"/>
                <w:lang w:val="es-ES"/>
              </w:rPr>
              <w:t xml:space="preserve"> (</w:t>
            </w:r>
            <w:proofErr w:type="spellStart"/>
            <w:r w:rsidRPr="00744841">
              <w:rPr>
                <w:rFonts w:cs="Arial"/>
                <w:color w:val="auto"/>
                <w:sz w:val="20"/>
                <w:szCs w:val="20"/>
                <w:lang w:val="es-ES"/>
              </w:rPr>
              <w:t>Fabaceae</w:t>
            </w:r>
            <w:proofErr w:type="spellEnd"/>
            <w:r w:rsidRPr="00744841">
              <w:rPr>
                <w:rFonts w:cs="Arial"/>
                <w:color w:val="auto"/>
                <w:sz w:val="20"/>
                <w:szCs w:val="20"/>
                <w:lang w:val="es-ES"/>
              </w:rPr>
              <w:t>)]</w:t>
            </w:r>
            <w:r w:rsidR="007A638A" w:rsidRPr="00744841">
              <w:rPr>
                <w:rFonts w:cs="Arial"/>
                <w:color w:val="auto"/>
                <w:sz w:val="20"/>
                <w:szCs w:val="20"/>
                <w:lang w:val="es-ES"/>
              </w:rPr>
              <w:t xml:space="preserve">  </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F2856" w14:textId="6194FABA" w:rsidR="003666C5" w:rsidRPr="00744841" w:rsidRDefault="00BC7517" w:rsidP="00BC7517">
            <w:pPr>
              <w:spacing w:after="0"/>
              <w:rPr>
                <w:rFonts w:cs="Arial"/>
                <w:color w:val="auto"/>
                <w:sz w:val="20"/>
                <w:szCs w:val="20"/>
                <w:lang w:val="es-ES"/>
              </w:rPr>
            </w:pPr>
            <w:r w:rsidRPr="00744841">
              <w:rPr>
                <w:rFonts w:cs="Arial"/>
                <w:color w:val="auto"/>
                <w:sz w:val="20"/>
                <w:szCs w:val="20"/>
                <w:lang w:val="es-ES"/>
              </w:rPr>
              <w:t>PC26 Doc. 29 (véase también la Sección 3 del presente Anexo)</w:t>
            </w:r>
            <w:r w:rsidR="007A638A" w:rsidRPr="00744841">
              <w:rPr>
                <w:rFonts w:cs="Arial"/>
                <w:color w:val="auto"/>
                <w:sz w:val="20"/>
                <w:szCs w:val="20"/>
                <w:lang w:val="es-ES"/>
              </w:rPr>
              <w:t xml:space="preserve"> </w:t>
            </w:r>
          </w:p>
          <w:p w14:paraId="5EE14B5D" w14:textId="5E41B7A5" w:rsidR="007A638A" w:rsidRPr="00744841" w:rsidRDefault="007A638A">
            <w:pPr>
              <w:spacing w:after="0"/>
              <w:jc w:val="left"/>
              <w:rPr>
                <w:rFonts w:cs="Arial"/>
                <w:color w:val="auto"/>
                <w:sz w:val="20"/>
                <w:szCs w:val="20"/>
                <w:lang w:val="es-ES"/>
              </w:rPr>
            </w:pPr>
            <w:r w:rsidRPr="00744841">
              <w:rPr>
                <w:rFonts w:cs="Arial"/>
                <w:color w:val="auto"/>
                <w:sz w:val="20"/>
                <w:szCs w:val="20"/>
                <w:lang w:val="es-ES"/>
              </w:rPr>
              <w:t>PC26 SR</w:t>
            </w:r>
          </w:p>
        </w:tc>
      </w:tr>
      <w:tr w:rsidR="00D54A66" w:rsidRPr="00744841" w14:paraId="51001C33" w14:textId="77777777">
        <w:trPr>
          <w:trHeight w:val="470"/>
        </w:trPr>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CF840" w14:textId="425F2CD8" w:rsidR="007A638A" w:rsidRPr="00744841" w:rsidRDefault="007A638A">
            <w:pPr>
              <w:spacing w:after="0"/>
              <w:jc w:val="left"/>
              <w:rPr>
                <w:rFonts w:cs="Arial"/>
                <w:color w:val="auto"/>
                <w:sz w:val="20"/>
                <w:szCs w:val="20"/>
                <w:lang w:val="es-ES"/>
              </w:rPr>
            </w:pPr>
            <w:r w:rsidRPr="00744841">
              <w:rPr>
                <w:rFonts w:cs="Arial"/>
                <w:color w:val="auto"/>
                <w:sz w:val="20"/>
                <w:szCs w:val="20"/>
                <w:lang w:val="es-ES"/>
              </w:rPr>
              <w:t xml:space="preserve">19.246 </w:t>
            </w:r>
            <w:r w:rsidR="00566EA5" w:rsidRPr="00744841">
              <w:rPr>
                <w:rFonts w:cs="Arial"/>
                <w:color w:val="auto"/>
                <w:sz w:val="20"/>
                <w:szCs w:val="20"/>
                <w:lang w:val="es-ES"/>
              </w:rPr>
              <w:t>a</w:t>
            </w:r>
            <w:r w:rsidRPr="00744841">
              <w:rPr>
                <w:rFonts w:cs="Arial"/>
                <w:color w:val="auto"/>
                <w:sz w:val="20"/>
                <w:szCs w:val="20"/>
                <w:lang w:val="es-ES"/>
              </w:rPr>
              <w:t xml:space="preserve"> 19.248</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AC8D35" w14:textId="11D8502D" w:rsidR="007A638A" w:rsidRPr="00744841" w:rsidRDefault="00BC7517" w:rsidP="00BC7517">
            <w:pPr>
              <w:tabs>
                <w:tab w:val="center" w:pos="1436"/>
                <w:tab w:val="center" w:pos="2274"/>
                <w:tab w:val="right" w:pos="4251"/>
              </w:tabs>
              <w:spacing w:after="0"/>
              <w:jc w:val="left"/>
              <w:rPr>
                <w:rFonts w:cs="Arial"/>
                <w:color w:val="auto"/>
                <w:sz w:val="20"/>
                <w:szCs w:val="20"/>
                <w:lang w:val="es-ES"/>
              </w:rPr>
            </w:pPr>
            <w:r w:rsidRPr="00744841">
              <w:rPr>
                <w:rFonts w:cs="Arial"/>
                <w:color w:val="auto"/>
                <w:sz w:val="20"/>
                <w:szCs w:val="20"/>
                <w:lang w:val="es-ES"/>
              </w:rPr>
              <w:t>Productos que contienen especímenes de orquídeas del Apéndice II (</w:t>
            </w:r>
            <w:proofErr w:type="spellStart"/>
            <w:r w:rsidRPr="00744841">
              <w:rPr>
                <w:rFonts w:cs="Arial"/>
                <w:color w:val="auto"/>
                <w:sz w:val="20"/>
                <w:szCs w:val="20"/>
                <w:lang w:val="es-ES"/>
              </w:rPr>
              <w:t>Orchidaceae</w:t>
            </w:r>
            <w:proofErr w:type="spellEnd"/>
            <w:r w:rsidRPr="00744841">
              <w:rPr>
                <w:rFonts w:cs="Arial"/>
                <w:color w:val="auto"/>
                <w:sz w:val="20"/>
                <w:szCs w:val="20"/>
                <w:lang w:val="es-ES"/>
              </w:rPr>
              <w:t xml:space="preserve"> </w:t>
            </w:r>
            <w:proofErr w:type="spellStart"/>
            <w:r w:rsidRPr="00744841">
              <w:rPr>
                <w:rFonts w:cs="Arial"/>
                <w:color w:val="auto"/>
                <w:sz w:val="20"/>
                <w:szCs w:val="20"/>
                <w:lang w:val="es-ES"/>
              </w:rPr>
              <w:t>spp</w:t>
            </w:r>
            <w:proofErr w:type="spellEnd"/>
            <w:r w:rsidRPr="00744841">
              <w:rPr>
                <w:rFonts w:cs="Arial"/>
                <w:color w:val="auto"/>
                <w:sz w:val="20"/>
                <w:szCs w:val="20"/>
                <w:lang w:val="es-ES"/>
              </w:rPr>
              <w:t>.)</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CA7FB" w14:textId="77777777" w:rsidR="003666C5" w:rsidRPr="00744841" w:rsidRDefault="007A638A">
            <w:pPr>
              <w:spacing w:after="0"/>
              <w:rPr>
                <w:rFonts w:cs="Arial"/>
                <w:color w:val="auto"/>
                <w:sz w:val="20"/>
                <w:szCs w:val="20"/>
                <w:lang w:val="es-ES"/>
              </w:rPr>
            </w:pPr>
            <w:r w:rsidRPr="00744841">
              <w:rPr>
                <w:rFonts w:cs="Arial"/>
                <w:color w:val="auto"/>
                <w:sz w:val="20"/>
                <w:szCs w:val="20"/>
                <w:lang w:val="es-ES"/>
              </w:rPr>
              <w:t>PC26 Doc. 30</w:t>
            </w:r>
          </w:p>
          <w:p w14:paraId="53CBEAEB" w14:textId="7838E3EB" w:rsidR="007A638A" w:rsidRPr="00744841" w:rsidRDefault="007A638A">
            <w:pPr>
              <w:spacing w:after="0"/>
              <w:jc w:val="left"/>
              <w:rPr>
                <w:rFonts w:cs="Arial"/>
                <w:color w:val="auto"/>
                <w:sz w:val="20"/>
                <w:szCs w:val="20"/>
                <w:lang w:val="es-ES"/>
              </w:rPr>
            </w:pPr>
            <w:r w:rsidRPr="00744841">
              <w:rPr>
                <w:rFonts w:cs="Arial"/>
                <w:color w:val="auto"/>
                <w:sz w:val="20"/>
                <w:szCs w:val="20"/>
                <w:lang w:val="es-ES"/>
              </w:rPr>
              <w:t>PC26 SR</w:t>
            </w:r>
          </w:p>
        </w:tc>
      </w:tr>
      <w:tr w:rsidR="00D54A66" w:rsidRPr="00744841" w14:paraId="1D2CC2C6" w14:textId="77777777">
        <w:trPr>
          <w:trHeight w:val="241"/>
        </w:trPr>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6C0C6" w14:textId="0D461286" w:rsidR="007A638A" w:rsidRPr="00744841" w:rsidRDefault="007A638A">
            <w:pPr>
              <w:spacing w:after="0"/>
              <w:jc w:val="left"/>
              <w:rPr>
                <w:rFonts w:cs="Arial"/>
                <w:color w:val="auto"/>
                <w:sz w:val="20"/>
                <w:szCs w:val="20"/>
                <w:lang w:val="es-ES"/>
              </w:rPr>
            </w:pPr>
            <w:r w:rsidRPr="00744841">
              <w:rPr>
                <w:rFonts w:cs="Arial"/>
                <w:color w:val="auto"/>
                <w:sz w:val="20"/>
                <w:szCs w:val="20"/>
                <w:lang w:val="es-ES"/>
              </w:rPr>
              <w:t xml:space="preserve">19.249 </w:t>
            </w:r>
            <w:r w:rsidR="00566EA5" w:rsidRPr="00744841">
              <w:rPr>
                <w:rFonts w:cs="Arial"/>
                <w:color w:val="auto"/>
                <w:sz w:val="20"/>
                <w:szCs w:val="20"/>
                <w:lang w:val="es-ES"/>
              </w:rPr>
              <w:t xml:space="preserve">a </w:t>
            </w:r>
            <w:r w:rsidRPr="00744841">
              <w:rPr>
                <w:rFonts w:cs="Arial"/>
                <w:color w:val="auto"/>
                <w:sz w:val="20"/>
                <w:szCs w:val="20"/>
                <w:lang w:val="es-ES"/>
              </w:rPr>
              <w:t xml:space="preserve">19.253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E2328" w14:textId="04048B62" w:rsidR="007A638A" w:rsidRPr="00744841" w:rsidRDefault="00BC7517" w:rsidP="00BC7517">
            <w:pPr>
              <w:spacing w:after="0"/>
              <w:jc w:val="left"/>
              <w:rPr>
                <w:rFonts w:cs="Arial"/>
                <w:color w:val="auto"/>
                <w:sz w:val="20"/>
                <w:szCs w:val="20"/>
                <w:lang w:val="es-ES"/>
              </w:rPr>
            </w:pPr>
            <w:r w:rsidRPr="00744841">
              <w:rPr>
                <w:rFonts w:cs="Arial"/>
                <w:color w:val="auto"/>
                <w:sz w:val="20"/>
                <w:szCs w:val="20"/>
                <w:lang w:val="es-ES"/>
              </w:rPr>
              <w:t>Palo Brasil (</w:t>
            </w:r>
            <w:proofErr w:type="spellStart"/>
            <w:r w:rsidRPr="00744841">
              <w:rPr>
                <w:rFonts w:cs="Arial"/>
                <w:i/>
                <w:color w:val="auto"/>
                <w:sz w:val="20"/>
                <w:szCs w:val="20"/>
                <w:lang w:val="es-ES"/>
              </w:rPr>
              <w:t>Paubrasilia</w:t>
            </w:r>
            <w:proofErr w:type="spellEnd"/>
            <w:r w:rsidRPr="00744841">
              <w:rPr>
                <w:rFonts w:cs="Arial"/>
                <w:i/>
                <w:color w:val="auto"/>
                <w:sz w:val="20"/>
                <w:szCs w:val="20"/>
                <w:lang w:val="es-ES"/>
              </w:rPr>
              <w:t xml:space="preserve"> </w:t>
            </w:r>
            <w:proofErr w:type="spellStart"/>
            <w:proofErr w:type="gramStart"/>
            <w:r w:rsidRPr="00744841">
              <w:rPr>
                <w:rFonts w:cs="Arial"/>
                <w:i/>
                <w:color w:val="auto"/>
                <w:sz w:val="20"/>
                <w:szCs w:val="20"/>
                <w:lang w:val="es-ES"/>
              </w:rPr>
              <w:t>echinata</w:t>
            </w:r>
            <w:proofErr w:type="spellEnd"/>
            <w:r w:rsidRPr="00744841">
              <w:rPr>
                <w:rFonts w:cs="Arial"/>
                <w:i/>
                <w:color w:val="auto"/>
                <w:sz w:val="20"/>
                <w:szCs w:val="20"/>
                <w:lang w:val="es-ES"/>
              </w:rPr>
              <w:t xml:space="preserve"> </w:t>
            </w:r>
            <w:r w:rsidRPr="00744841">
              <w:rPr>
                <w:rFonts w:cs="Arial"/>
                <w:color w:val="auto"/>
                <w:sz w:val="20"/>
                <w:szCs w:val="20"/>
                <w:lang w:val="es-ES"/>
              </w:rPr>
              <w:t>)</w:t>
            </w:r>
            <w:proofErr w:type="gramEnd"/>
            <w:r w:rsidR="007A638A" w:rsidRPr="00744841">
              <w:rPr>
                <w:rFonts w:cs="Arial"/>
                <w:color w:val="auto"/>
                <w:sz w:val="20"/>
                <w:szCs w:val="20"/>
                <w:lang w:val="es-ES"/>
              </w:rPr>
              <w:t xml:space="preserve"> </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FE9A52" w14:textId="77777777" w:rsidR="003666C5" w:rsidRPr="00744841" w:rsidRDefault="007A638A">
            <w:pPr>
              <w:spacing w:after="0"/>
              <w:jc w:val="left"/>
              <w:rPr>
                <w:rFonts w:cs="Arial"/>
                <w:color w:val="auto"/>
                <w:sz w:val="20"/>
                <w:szCs w:val="20"/>
                <w:lang w:val="es-ES"/>
              </w:rPr>
            </w:pPr>
            <w:r w:rsidRPr="00744841">
              <w:rPr>
                <w:rFonts w:cs="Arial"/>
                <w:color w:val="auto"/>
                <w:sz w:val="20"/>
                <w:szCs w:val="20"/>
                <w:lang w:val="es-ES"/>
              </w:rPr>
              <w:t xml:space="preserve">PC26 Doc. 31 </w:t>
            </w:r>
          </w:p>
          <w:p w14:paraId="7643AC0F" w14:textId="2806EEA9" w:rsidR="007A638A" w:rsidRPr="00744841" w:rsidRDefault="007A638A">
            <w:pPr>
              <w:spacing w:after="0"/>
              <w:jc w:val="left"/>
              <w:rPr>
                <w:rFonts w:cs="Arial"/>
                <w:color w:val="auto"/>
                <w:sz w:val="20"/>
                <w:szCs w:val="20"/>
                <w:lang w:val="es-ES"/>
              </w:rPr>
            </w:pPr>
            <w:r w:rsidRPr="00744841">
              <w:rPr>
                <w:rFonts w:cs="Arial"/>
                <w:color w:val="auto"/>
                <w:sz w:val="20"/>
                <w:szCs w:val="20"/>
                <w:lang w:val="es-ES"/>
              </w:rPr>
              <w:t>PC26 SR</w:t>
            </w:r>
          </w:p>
        </w:tc>
      </w:tr>
      <w:tr w:rsidR="00D54A66" w:rsidRPr="00744841" w14:paraId="174DB569" w14:textId="77777777">
        <w:trPr>
          <w:trHeight w:val="241"/>
        </w:trPr>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8DB34" w14:textId="3E98AC5D" w:rsidR="007A638A" w:rsidRPr="00744841" w:rsidRDefault="007A638A">
            <w:pPr>
              <w:spacing w:after="0"/>
              <w:jc w:val="left"/>
              <w:rPr>
                <w:rFonts w:cs="Arial"/>
                <w:color w:val="auto"/>
                <w:sz w:val="20"/>
                <w:szCs w:val="20"/>
                <w:lang w:val="es-ES"/>
              </w:rPr>
            </w:pPr>
            <w:r w:rsidRPr="00744841">
              <w:rPr>
                <w:rFonts w:cs="Arial"/>
                <w:color w:val="auto"/>
                <w:sz w:val="20"/>
                <w:szCs w:val="20"/>
                <w:lang w:val="es-ES"/>
              </w:rPr>
              <w:t>19.254</w:t>
            </w:r>
            <w:r w:rsidR="00566EA5" w:rsidRPr="00744841">
              <w:rPr>
                <w:rFonts w:cs="Arial"/>
                <w:color w:val="auto"/>
                <w:sz w:val="20"/>
                <w:szCs w:val="20"/>
                <w:lang w:val="es-ES"/>
              </w:rPr>
              <w:t xml:space="preserve"> a</w:t>
            </w:r>
            <w:r w:rsidRPr="00744841">
              <w:rPr>
                <w:rFonts w:cs="Arial"/>
                <w:color w:val="auto"/>
                <w:sz w:val="20"/>
                <w:szCs w:val="20"/>
                <w:lang w:val="es-ES"/>
              </w:rPr>
              <w:t xml:space="preserve"> 19.256</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E3959" w14:textId="0327C79A" w:rsidR="007A638A" w:rsidRPr="00744841" w:rsidRDefault="00BC7517" w:rsidP="00BC7517">
            <w:pPr>
              <w:spacing w:after="0"/>
              <w:jc w:val="left"/>
              <w:rPr>
                <w:rFonts w:cs="Arial"/>
                <w:color w:val="auto"/>
                <w:sz w:val="20"/>
                <w:szCs w:val="20"/>
                <w:lang w:val="es-ES"/>
              </w:rPr>
            </w:pPr>
            <w:r w:rsidRPr="00744841">
              <w:rPr>
                <w:rFonts w:cs="Arial"/>
                <w:color w:val="auto"/>
                <w:sz w:val="20"/>
                <w:szCs w:val="20"/>
                <w:lang w:val="es-ES"/>
              </w:rPr>
              <w:t xml:space="preserve">Especies arbóreas </w:t>
            </w:r>
            <w:r w:rsidR="00F4785E">
              <w:rPr>
                <w:rFonts w:cs="Arial"/>
                <w:color w:val="auto"/>
                <w:sz w:val="20"/>
                <w:szCs w:val="20"/>
                <w:lang w:val="es-ES"/>
              </w:rPr>
              <w:t>a</w:t>
            </w:r>
            <w:r w:rsidR="003B662C" w:rsidRPr="00744841">
              <w:rPr>
                <w:rFonts w:cs="Arial"/>
                <w:color w:val="auto"/>
                <w:sz w:val="20"/>
                <w:szCs w:val="20"/>
                <w:lang w:val="es-ES"/>
              </w:rPr>
              <w:t>frica</w:t>
            </w:r>
            <w:r w:rsidRPr="00744841">
              <w:rPr>
                <w:rFonts w:cs="Arial"/>
                <w:color w:val="auto"/>
                <w:sz w:val="20"/>
                <w:szCs w:val="20"/>
                <w:lang w:val="es-ES"/>
              </w:rPr>
              <w:t>nas</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099C5" w14:textId="77777777" w:rsidR="003666C5" w:rsidRPr="00744841" w:rsidRDefault="007A638A">
            <w:pPr>
              <w:spacing w:after="0"/>
              <w:jc w:val="left"/>
              <w:rPr>
                <w:rFonts w:cs="Arial"/>
                <w:color w:val="auto"/>
                <w:sz w:val="20"/>
                <w:szCs w:val="20"/>
                <w:lang w:val="es-ES"/>
              </w:rPr>
            </w:pPr>
            <w:r w:rsidRPr="00744841">
              <w:rPr>
                <w:rFonts w:cs="Arial"/>
                <w:color w:val="auto"/>
                <w:sz w:val="20"/>
                <w:szCs w:val="20"/>
                <w:lang w:val="es-ES"/>
              </w:rPr>
              <w:t>PC26 Doc. 32</w:t>
            </w:r>
          </w:p>
          <w:p w14:paraId="5E023F92" w14:textId="78A803A4" w:rsidR="007A638A" w:rsidRPr="00744841" w:rsidRDefault="007A638A">
            <w:pPr>
              <w:spacing w:after="0"/>
              <w:jc w:val="left"/>
              <w:rPr>
                <w:rFonts w:cs="Arial"/>
                <w:color w:val="auto"/>
                <w:sz w:val="20"/>
                <w:szCs w:val="20"/>
                <w:lang w:val="es-ES"/>
              </w:rPr>
            </w:pPr>
            <w:r w:rsidRPr="00744841">
              <w:rPr>
                <w:rFonts w:cs="Arial"/>
                <w:color w:val="auto"/>
                <w:sz w:val="20"/>
                <w:szCs w:val="20"/>
                <w:lang w:val="es-ES"/>
              </w:rPr>
              <w:t>PC26 SR</w:t>
            </w:r>
          </w:p>
        </w:tc>
      </w:tr>
      <w:tr w:rsidR="00D54A66" w:rsidRPr="00744841" w14:paraId="2D846AEE" w14:textId="77777777">
        <w:trPr>
          <w:trHeight w:val="241"/>
        </w:trPr>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529CE" w14:textId="1D322C94" w:rsidR="007A638A" w:rsidRPr="00744841" w:rsidRDefault="007A638A">
            <w:pPr>
              <w:spacing w:after="0"/>
              <w:jc w:val="left"/>
              <w:rPr>
                <w:rFonts w:cs="Arial"/>
                <w:color w:val="auto"/>
                <w:sz w:val="20"/>
                <w:szCs w:val="20"/>
                <w:lang w:val="es-ES"/>
              </w:rPr>
            </w:pPr>
            <w:r w:rsidRPr="00744841">
              <w:rPr>
                <w:rFonts w:cs="Arial"/>
                <w:color w:val="auto"/>
                <w:sz w:val="20"/>
                <w:szCs w:val="20"/>
                <w:lang w:val="es-ES"/>
              </w:rPr>
              <w:lastRenderedPageBreak/>
              <w:t xml:space="preserve">19.257 </w:t>
            </w:r>
            <w:r w:rsidR="00566EA5" w:rsidRPr="00744841">
              <w:rPr>
                <w:rFonts w:cs="Arial"/>
                <w:color w:val="auto"/>
                <w:sz w:val="20"/>
                <w:szCs w:val="20"/>
                <w:lang w:val="es-ES"/>
              </w:rPr>
              <w:t>a</w:t>
            </w:r>
            <w:r w:rsidRPr="00744841">
              <w:rPr>
                <w:rFonts w:cs="Arial"/>
                <w:color w:val="auto"/>
                <w:sz w:val="20"/>
                <w:szCs w:val="20"/>
                <w:lang w:val="es-ES"/>
              </w:rPr>
              <w:t xml:space="preserve"> 19.260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18133" w14:textId="59235C35" w:rsidR="007A638A" w:rsidRPr="00744841" w:rsidRDefault="00BC7517" w:rsidP="00BC7517">
            <w:pPr>
              <w:spacing w:after="0"/>
              <w:jc w:val="left"/>
              <w:rPr>
                <w:rFonts w:cs="Arial"/>
                <w:color w:val="auto"/>
                <w:sz w:val="20"/>
                <w:szCs w:val="20"/>
                <w:lang w:val="es-ES"/>
              </w:rPr>
            </w:pPr>
            <w:r w:rsidRPr="00744841">
              <w:rPr>
                <w:rFonts w:cs="Arial"/>
                <w:color w:val="auto"/>
                <w:sz w:val="20"/>
                <w:szCs w:val="20"/>
                <w:lang w:val="es-ES"/>
              </w:rPr>
              <w:t>Especies de árboles neotropicales</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973B38" w14:textId="77777777" w:rsidR="003666C5" w:rsidRPr="00744841" w:rsidRDefault="007A638A">
            <w:pPr>
              <w:spacing w:after="0"/>
              <w:jc w:val="left"/>
              <w:rPr>
                <w:rFonts w:cs="Arial"/>
                <w:color w:val="auto"/>
                <w:sz w:val="20"/>
                <w:szCs w:val="20"/>
                <w:lang w:val="es-ES"/>
              </w:rPr>
            </w:pPr>
            <w:r w:rsidRPr="00744841">
              <w:rPr>
                <w:rFonts w:cs="Arial"/>
                <w:color w:val="auto"/>
                <w:sz w:val="20"/>
                <w:szCs w:val="20"/>
                <w:lang w:val="es-ES"/>
              </w:rPr>
              <w:t>PC26 Doc. 33</w:t>
            </w:r>
          </w:p>
          <w:p w14:paraId="471FE441" w14:textId="74E9B37A" w:rsidR="007A638A" w:rsidRPr="00744841" w:rsidRDefault="007A638A">
            <w:pPr>
              <w:spacing w:after="0"/>
              <w:jc w:val="left"/>
              <w:rPr>
                <w:rFonts w:cs="Arial"/>
                <w:color w:val="auto"/>
                <w:sz w:val="20"/>
                <w:szCs w:val="20"/>
                <w:lang w:val="es-ES"/>
              </w:rPr>
            </w:pPr>
            <w:r w:rsidRPr="00744841">
              <w:rPr>
                <w:rFonts w:cs="Arial"/>
                <w:color w:val="auto"/>
                <w:sz w:val="20"/>
                <w:szCs w:val="20"/>
                <w:lang w:val="es-ES"/>
              </w:rPr>
              <w:t>PC26 SR</w:t>
            </w:r>
          </w:p>
        </w:tc>
      </w:tr>
      <w:tr w:rsidR="00D54A66" w:rsidRPr="00744841" w14:paraId="41E8CB0D" w14:textId="77777777">
        <w:trPr>
          <w:trHeight w:val="241"/>
        </w:trPr>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6F3B8" w14:textId="6F9275FD" w:rsidR="007A638A" w:rsidRPr="00744841" w:rsidRDefault="007A638A">
            <w:pPr>
              <w:jc w:val="left"/>
              <w:rPr>
                <w:rFonts w:cs="Arial"/>
                <w:color w:val="auto"/>
                <w:sz w:val="20"/>
                <w:szCs w:val="20"/>
                <w:lang w:val="es-ES"/>
              </w:rPr>
            </w:pPr>
            <w:r w:rsidRPr="00744841">
              <w:rPr>
                <w:rFonts w:cs="Arial"/>
                <w:color w:val="auto"/>
                <w:sz w:val="20"/>
                <w:szCs w:val="20"/>
                <w:lang w:val="es-ES"/>
              </w:rPr>
              <w:t xml:space="preserve">19.261 </w:t>
            </w:r>
            <w:r w:rsidR="00566EA5" w:rsidRPr="00744841">
              <w:rPr>
                <w:rFonts w:cs="Arial"/>
                <w:color w:val="auto"/>
                <w:sz w:val="20"/>
                <w:szCs w:val="20"/>
                <w:lang w:val="es-ES"/>
              </w:rPr>
              <w:t>a</w:t>
            </w:r>
            <w:r w:rsidRPr="00744841">
              <w:rPr>
                <w:rFonts w:cs="Arial"/>
                <w:color w:val="auto"/>
                <w:sz w:val="20"/>
                <w:szCs w:val="20"/>
                <w:lang w:val="es-ES"/>
              </w:rPr>
              <w:t xml:space="preserve"> 19.264</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0A9B8" w14:textId="67E21263" w:rsidR="007A638A" w:rsidRPr="00744841" w:rsidRDefault="00BC7517" w:rsidP="00BC7517">
            <w:pPr>
              <w:jc w:val="left"/>
              <w:rPr>
                <w:rFonts w:cs="Arial"/>
                <w:color w:val="auto"/>
                <w:sz w:val="20"/>
                <w:szCs w:val="20"/>
                <w:lang w:val="es-ES"/>
              </w:rPr>
            </w:pPr>
            <w:r w:rsidRPr="00744841">
              <w:rPr>
                <w:rFonts w:cs="Arial"/>
                <w:color w:val="auto"/>
                <w:sz w:val="20"/>
                <w:szCs w:val="20"/>
                <w:lang w:val="es-ES"/>
              </w:rPr>
              <w:t>Comercio de especies de plantas medicinales y aromáticas</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CE7D7" w14:textId="77777777" w:rsidR="003666C5" w:rsidRPr="00744841" w:rsidRDefault="007A638A">
            <w:pPr>
              <w:spacing w:after="0"/>
              <w:ind w:hanging="11"/>
              <w:jc w:val="left"/>
              <w:rPr>
                <w:rFonts w:cs="Arial"/>
                <w:color w:val="auto"/>
                <w:sz w:val="20"/>
                <w:szCs w:val="20"/>
                <w:lang w:val="es-ES"/>
              </w:rPr>
            </w:pPr>
            <w:r w:rsidRPr="00744841">
              <w:rPr>
                <w:rFonts w:cs="Arial"/>
                <w:color w:val="auto"/>
                <w:sz w:val="20"/>
                <w:szCs w:val="20"/>
                <w:lang w:val="es-ES"/>
              </w:rPr>
              <w:t>PC26 Doc. 34</w:t>
            </w:r>
          </w:p>
          <w:p w14:paraId="6AC5D0D1" w14:textId="38EB926B" w:rsidR="007A638A" w:rsidRPr="00744841" w:rsidRDefault="007A638A">
            <w:pPr>
              <w:spacing w:after="0"/>
              <w:ind w:hanging="11"/>
              <w:jc w:val="left"/>
              <w:rPr>
                <w:rFonts w:cs="Arial"/>
                <w:color w:val="auto"/>
                <w:sz w:val="20"/>
                <w:szCs w:val="20"/>
                <w:lang w:val="es-ES"/>
              </w:rPr>
            </w:pPr>
            <w:r w:rsidRPr="00744841">
              <w:rPr>
                <w:rFonts w:cs="Arial"/>
                <w:color w:val="auto"/>
                <w:sz w:val="20"/>
                <w:szCs w:val="20"/>
                <w:lang w:val="es-ES"/>
              </w:rPr>
              <w:t>PC26 SR</w:t>
            </w:r>
          </w:p>
        </w:tc>
      </w:tr>
      <w:tr w:rsidR="00D54A66" w:rsidRPr="00744841" w14:paraId="18D96532" w14:textId="77777777">
        <w:trPr>
          <w:trHeight w:val="238"/>
        </w:trPr>
        <w:tc>
          <w:tcPr>
            <w:tcW w:w="2261" w:type="dxa"/>
            <w:tcBorders>
              <w:top w:val="single" w:sz="4" w:space="0" w:color="000000" w:themeColor="text1"/>
              <w:left w:val="single" w:sz="4" w:space="0" w:color="000000" w:themeColor="text1"/>
              <w:bottom w:val="single" w:sz="4" w:space="0" w:color="000000" w:themeColor="text1"/>
              <w:right w:val="nil"/>
            </w:tcBorders>
            <w:shd w:val="clear" w:color="auto" w:fill="F2F2F2" w:themeFill="background1" w:themeFillShade="F2"/>
          </w:tcPr>
          <w:p w14:paraId="1AC28592" w14:textId="77777777" w:rsidR="007A638A" w:rsidRPr="00744841" w:rsidRDefault="007A638A">
            <w:pPr>
              <w:spacing w:after="160"/>
              <w:jc w:val="left"/>
              <w:rPr>
                <w:rFonts w:cs="Arial"/>
                <w:color w:val="auto"/>
                <w:sz w:val="20"/>
                <w:szCs w:val="20"/>
                <w:lang w:val="es-ES"/>
              </w:rPr>
            </w:pPr>
          </w:p>
        </w:tc>
        <w:tc>
          <w:tcPr>
            <w:tcW w:w="4394" w:type="dxa"/>
            <w:tcBorders>
              <w:top w:val="single" w:sz="4" w:space="0" w:color="000000" w:themeColor="text1"/>
              <w:left w:val="nil"/>
              <w:bottom w:val="single" w:sz="4" w:space="0" w:color="000000" w:themeColor="text1"/>
              <w:right w:val="nil"/>
            </w:tcBorders>
            <w:shd w:val="clear" w:color="auto" w:fill="F2F2F2" w:themeFill="background1" w:themeFillShade="F2"/>
          </w:tcPr>
          <w:p w14:paraId="338AEF55" w14:textId="530C131F" w:rsidR="007A638A" w:rsidRPr="00744841" w:rsidRDefault="00BC7517" w:rsidP="00BC7517">
            <w:pPr>
              <w:spacing w:after="0"/>
              <w:ind w:left="1030"/>
              <w:jc w:val="left"/>
              <w:rPr>
                <w:rFonts w:cs="Arial"/>
                <w:color w:val="auto"/>
                <w:sz w:val="20"/>
                <w:szCs w:val="20"/>
                <w:lang w:val="es-ES"/>
              </w:rPr>
            </w:pPr>
            <w:r w:rsidRPr="00744841">
              <w:rPr>
                <w:rFonts w:cs="Arial"/>
                <w:b/>
                <w:color w:val="auto"/>
                <w:sz w:val="20"/>
                <w:szCs w:val="20"/>
                <w:lang w:val="es-ES"/>
              </w:rPr>
              <w:t xml:space="preserve">Apéndices de la Convención </w:t>
            </w:r>
            <w:r w:rsidR="007A638A" w:rsidRPr="00744841">
              <w:rPr>
                <w:rFonts w:cs="Arial"/>
                <w:color w:val="auto"/>
                <w:sz w:val="20"/>
                <w:szCs w:val="20"/>
                <w:lang w:val="es-ES"/>
              </w:rPr>
              <w:t xml:space="preserve"> </w:t>
            </w:r>
          </w:p>
        </w:tc>
        <w:tc>
          <w:tcPr>
            <w:tcW w:w="2971" w:type="dxa"/>
            <w:tcBorders>
              <w:top w:val="single" w:sz="4" w:space="0" w:color="000000" w:themeColor="text1"/>
              <w:left w:val="nil"/>
              <w:bottom w:val="single" w:sz="4" w:space="0" w:color="000000" w:themeColor="text1"/>
              <w:right w:val="single" w:sz="4" w:space="0" w:color="000000" w:themeColor="text1"/>
            </w:tcBorders>
            <w:shd w:val="clear" w:color="auto" w:fill="F2F2F2" w:themeFill="background1" w:themeFillShade="F2"/>
          </w:tcPr>
          <w:p w14:paraId="740C59AE" w14:textId="77777777" w:rsidR="007A638A" w:rsidRPr="00744841" w:rsidRDefault="007A638A">
            <w:pPr>
              <w:spacing w:after="160"/>
              <w:jc w:val="left"/>
              <w:rPr>
                <w:rFonts w:cs="Arial"/>
                <w:color w:val="auto"/>
                <w:sz w:val="20"/>
                <w:szCs w:val="20"/>
                <w:lang w:val="es-ES"/>
              </w:rPr>
            </w:pPr>
          </w:p>
        </w:tc>
      </w:tr>
      <w:tr w:rsidR="00D54A66" w:rsidRPr="00744841" w14:paraId="7811065E" w14:textId="77777777">
        <w:trPr>
          <w:trHeight w:val="241"/>
        </w:trPr>
        <w:tc>
          <w:tcPr>
            <w:tcW w:w="2261" w:type="dxa"/>
            <w:tcBorders>
              <w:top w:val="single" w:sz="4" w:space="0" w:color="000000" w:themeColor="text1"/>
              <w:left w:val="single" w:sz="4" w:space="0" w:color="000000" w:themeColor="text1"/>
              <w:bottom w:val="single" w:sz="4" w:space="0" w:color="000000" w:themeColor="text1"/>
              <w:right w:val="nil"/>
            </w:tcBorders>
          </w:tcPr>
          <w:p w14:paraId="670BE1BD" w14:textId="77777777" w:rsidR="007A638A" w:rsidRPr="00744841" w:rsidRDefault="007A638A">
            <w:pPr>
              <w:spacing w:after="160"/>
              <w:jc w:val="left"/>
              <w:rPr>
                <w:rFonts w:cs="Arial"/>
                <w:color w:val="auto"/>
                <w:sz w:val="20"/>
                <w:szCs w:val="20"/>
                <w:lang w:val="es-ES"/>
              </w:rPr>
            </w:pPr>
          </w:p>
        </w:tc>
        <w:tc>
          <w:tcPr>
            <w:tcW w:w="4394" w:type="dxa"/>
            <w:tcBorders>
              <w:top w:val="single" w:sz="4" w:space="0" w:color="000000" w:themeColor="text1"/>
              <w:left w:val="nil"/>
              <w:bottom w:val="single" w:sz="4" w:space="0" w:color="000000" w:themeColor="text1"/>
              <w:right w:val="nil"/>
            </w:tcBorders>
          </w:tcPr>
          <w:p w14:paraId="4DE000CD" w14:textId="33F38473" w:rsidR="007A638A" w:rsidRPr="00744841" w:rsidRDefault="00BC7517" w:rsidP="00BC7517">
            <w:pPr>
              <w:spacing w:after="0"/>
              <w:ind w:left="637"/>
              <w:jc w:val="center"/>
              <w:rPr>
                <w:rFonts w:cs="Arial"/>
                <w:color w:val="auto"/>
                <w:sz w:val="20"/>
                <w:szCs w:val="20"/>
                <w:lang w:val="es-ES"/>
              </w:rPr>
            </w:pPr>
            <w:r w:rsidRPr="00744841">
              <w:rPr>
                <w:rFonts w:cs="Arial"/>
                <w:i/>
                <w:color w:val="auto"/>
                <w:sz w:val="20"/>
                <w:szCs w:val="20"/>
                <w:u w:val="single"/>
                <w:lang w:val="es-ES"/>
              </w:rPr>
              <w:t>Anotaciones</w:t>
            </w:r>
            <w:r w:rsidR="007A638A" w:rsidRPr="00744841">
              <w:rPr>
                <w:rFonts w:cs="Arial"/>
                <w:color w:val="auto"/>
                <w:sz w:val="20"/>
                <w:szCs w:val="20"/>
                <w:lang w:val="es-ES"/>
              </w:rPr>
              <w:t xml:space="preserve"> </w:t>
            </w:r>
          </w:p>
        </w:tc>
        <w:tc>
          <w:tcPr>
            <w:tcW w:w="2971" w:type="dxa"/>
            <w:tcBorders>
              <w:top w:val="single" w:sz="4" w:space="0" w:color="000000" w:themeColor="text1"/>
              <w:left w:val="nil"/>
              <w:bottom w:val="single" w:sz="4" w:space="0" w:color="000000" w:themeColor="text1"/>
              <w:right w:val="single" w:sz="4" w:space="0" w:color="000000" w:themeColor="text1"/>
            </w:tcBorders>
          </w:tcPr>
          <w:p w14:paraId="258B9CF4" w14:textId="77777777" w:rsidR="007A638A" w:rsidRPr="00744841" w:rsidRDefault="007A638A">
            <w:pPr>
              <w:spacing w:after="160"/>
              <w:jc w:val="left"/>
              <w:rPr>
                <w:rFonts w:cs="Arial"/>
                <w:color w:val="auto"/>
                <w:sz w:val="20"/>
                <w:szCs w:val="20"/>
                <w:lang w:val="es-ES"/>
              </w:rPr>
            </w:pPr>
          </w:p>
        </w:tc>
      </w:tr>
      <w:tr w:rsidR="00D54A66" w:rsidRPr="00744841" w14:paraId="21DCA06C" w14:textId="77777777">
        <w:trPr>
          <w:trHeight w:val="470"/>
        </w:trPr>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581A4C" w14:textId="0E5803FB" w:rsidR="003666C5" w:rsidRPr="00C64DE6" w:rsidRDefault="007A638A">
            <w:pPr>
              <w:spacing w:after="0"/>
              <w:jc w:val="left"/>
              <w:rPr>
                <w:rFonts w:cs="Arial"/>
                <w:color w:val="auto"/>
                <w:sz w:val="20"/>
                <w:szCs w:val="20"/>
                <w:lang w:val="en-US"/>
              </w:rPr>
            </w:pPr>
            <w:r w:rsidRPr="00C64DE6">
              <w:rPr>
                <w:rFonts w:cs="Arial"/>
                <w:color w:val="auto"/>
                <w:sz w:val="20"/>
                <w:szCs w:val="20"/>
                <w:lang w:val="en-US"/>
              </w:rPr>
              <w:t xml:space="preserve">18.321 (Rev. CoP19) </w:t>
            </w:r>
            <w:r w:rsidR="00566EA5" w:rsidRPr="00C64DE6">
              <w:rPr>
                <w:rFonts w:cs="Arial"/>
                <w:color w:val="auto"/>
                <w:sz w:val="20"/>
                <w:szCs w:val="20"/>
                <w:lang w:val="en-US"/>
              </w:rPr>
              <w:t>a</w:t>
            </w:r>
            <w:r w:rsidRPr="00C64DE6">
              <w:rPr>
                <w:rFonts w:cs="Arial"/>
                <w:color w:val="auto"/>
                <w:sz w:val="20"/>
                <w:szCs w:val="20"/>
                <w:lang w:val="en-US"/>
              </w:rPr>
              <w:t xml:space="preserve"> </w:t>
            </w:r>
          </w:p>
          <w:p w14:paraId="487A1408" w14:textId="7C8DADF9" w:rsidR="007A638A" w:rsidRPr="00C64DE6" w:rsidRDefault="007A638A">
            <w:pPr>
              <w:spacing w:after="0"/>
              <w:jc w:val="left"/>
              <w:rPr>
                <w:rFonts w:cs="Arial"/>
                <w:color w:val="auto"/>
                <w:sz w:val="20"/>
                <w:szCs w:val="20"/>
                <w:lang w:val="en-US"/>
              </w:rPr>
            </w:pPr>
            <w:r w:rsidRPr="00C64DE6">
              <w:rPr>
                <w:rFonts w:cs="Arial"/>
                <w:color w:val="auto"/>
                <w:sz w:val="20"/>
                <w:szCs w:val="20"/>
                <w:lang w:val="en-US"/>
              </w:rPr>
              <w:t xml:space="preserve">18.322 (Rev. CoP19)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F4848" w14:textId="2958069E" w:rsidR="007A638A" w:rsidRPr="00744841" w:rsidRDefault="00BC7517" w:rsidP="00BC7517">
            <w:pPr>
              <w:spacing w:after="0"/>
              <w:jc w:val="left"/>
              <w:rPr>
                <w:rFonts w:cs="Arial"/>
                <w:color w:val="auto"/>
                <w:sz w:val="20"/>
                <w:szCs w:val="20"/>
                <w:lang w:val="es-ES"/>
              </w:rPr>
            </w:pPr>
            <w:r w:rsidRPr="00744841">
              <w:rPr>
                <w:rFonts w:cs="Arial"/>
                <w:color w:val="auto"/>
                <w:sz w:val="20"/>
                <w:szCs w:val="20"/>
                <w:lang w:val="es-ES"/>
              </w:rPr>
              <w:t>Anotación #15</w:t>
            </w:r>
            <w:r w:rsidR="007A638A" w:rsidRPr="00744841">
              <w:rPr>
                <w:rFonts w:cs="Arial"/>
                <w:color w:val="auto"/>
                <w:sz w:val="20"/>
                <w:szCs w:val="20"/>
                <w:lang w:val="es-ES"/>
              </w:rPr>
              <w:t xml:space="preserve"> </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D7A6E" w14:textId="77777777" w:rsidR="003666C5" w:rsidRPr="00744841" w:rsidRDefault="007A638A">
            <w:pPr>
              <w:spacing w:after="0"/>
              <w:jc w:val="left"/>
              <w:rPr>
                <w:rFonts w:cs="Arial"/>
                <w:color w:val="auto"/>
                <w:sz w:val="20"/>
                <w:szCs w:val="20"/>
                <w:lang w:val="es-ES"/>
              </w:rPr>
            </w:pPr>
            <w:r w:rsidRPr="00744841">
              <w:rPr>
                <w:rFonts w:cs="Arial"/>
                <w:color w:val="auto"/>
                <w:sz w:val="20"/>
                <w:szCs w:val="20"/>
                <w:lang w:val="es-ES"/>
              </w:rPr>
              <w:t xml:space="preserve">PC26 Doc. 37 </w:t>
            </w:r>
          </w:p>
          <w:p w14:paraId="49B43832" w14:textId="1D2DAE1E" w:rsidR="007A638A" w:rsidRPr="00744841" w:rsidRDefault="007A638A">
            <w:pPr>
              <w:spacing w:after="0"/>
              <w:jc w:val="left"/>
              <w:rPr>
                <w:rFonts w:cs="Arial"/>
                <w:color w:val="auto"/>
                <w:sz w:val="20"/>
                <w:szCs w:val="20"/>
                <w:lang w:val="es-ES"/>
              </w:rPr>
            </w:pPr>
            <w:r w:rsidRPr="00744841">
              <w:rPr>
                <w:rFonts w:cs="Arial"/>
                <w:color w:val="auto"/>
                <w:sz w:val="20"/>
                <w:szCs w:val="20"/>
                <w:lang w:val="es-ES"/>
              </w:rPr>
              <w:t>PC26 SR</w:t>
            </w:r>
          </w:p>
        </w:tc>
      </w:tr>
      <w:tr w:rsidR="00D54A66" w:rsidRPr="00744841" w14:paraId="56834564" w14:textId="77777777">
        <w:trPr>
          <w:trHeight w:val="468"/>
        </w:trPr>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302F0" w14:textId="444B04F2" w:rsidR="007A638A" w:rsidRPr="00744841" w:rsidRDefault="000B14FC" w:rsidP="000B14FC">
            <w:pPr>
              <w:spacing w:after="0"/>
              <w:rPr>
                <w:rFonts w:cs="Arial"/>
                <w:color w:val="auto"/>
                <w:sz w:val="20"/>
                <w:szCs w:val="20"/>
                <w:lang w:val="es-ES"/>
              </w:rPr>
            </w:pPr>
            <w:r w:rsidRPr="00744841">
              <w:rPr>
                <w:rFonts w:cs="Arial"/>
                <w:color w:val="auto"/>
                <w:sz w:val="20"/>
                <w:szCs w:val="20"/>
                <w:lang w:val="es-ES"/>
              </w:rPr>
              <w:t>18.317 (Rev. CoP19) y 19.265</w:t>
            </w:r>
            <w:r w:rsidR="007A638A" w:rsidRPr="00744841">
              <w:rPr>
                <w:rFonts w:cs="Arial"/>
                <w:color w:val="auto"/>
                <w:sz w:val="20"/>
                <w:szCs w:val="20"/>
                <w:lang w:val="es-ES"/>
              </w:rPr>
              <w:t xml:space="preserve">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47167" w14:textId="799748DD" w:rsidR="007A638A" w:rsidRPr="00744841" w:rsidRDefault="000B14FC" w:rsidP="000B14FC">
            <w:pPr>
              <w:spacing w:after="0"/>
              <w:rPr>
                <w:rFonts w:cs="Arial"/>
                <w:color w:val="auto"/>
                <w:sz w:val="20"/>
                <w:szCs w:val="20"/>
                <w:lang w:val="es-ES"/>
              </w:rPr>
            </w:pPr>
            <w:r w:rsidRPr="00744841">
              <w:rPr>
                <w:rFonts w:cs="Arial"/>
                <w:color w:val="auto"/>
                <w:sz w:val="20"/>
                <w:szCs w:val="20"/>
                <w:lang w:val="es-ES"/>
              </w:rPr>
              <w:t>Sistema de información para el comercio de especímenes de especies arbóreas incluidas en los Apéndices de la CITES</w:t>
            </w:r>
            <w:r w:rsidR="007A638A" w:rsidRPr="00744841">
              <w:rPr>
                <w:rFonts w:cs="Arial"/>
                <w:color w:val="auto"/>
                <w:sz w:val="20"/>
                <w:szCs w:val="20"/>
                <w:lang w:val="es-ES"/>
              </w:rPr>
              <w:t xml:space="preserve"> </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92EC4" w14:textId="77777777" w:rsidR="003666C5" w:rsidRPr="00744841" w:rsidRDefault="007A638A">
            <w:pPr>
              <w:spacing w:after="0"/>
              <w:jc w:val="left"/>
              <w:rPr>
                <w:rFonts w:cs="Arial"/>
                <w:color w:val="auto"/>
                <w:sz w:val="20"/>
                <w:szCs w:val="20"/>
                <w:lang w:val="es-ES"/>
              </w:rPr>
            </w:pPr>
            <w:r w:rsidRPr="00744841">
              <w:rPr>
                <w:rFonts w:cs="Arial"/>
                <w:color w:val="auto"/>
                <w:sz w:val="20"/>
                <w:szCs w:val="20"/>
                <w:lang w:val="es-ES"/>
              </w:rPr>
              <w:t xml:space="preserve">PC26 Doc. 38 </w:t>
            </w:r>
          </w:p>
          <w:p w14:paraId="464169C3" w14:textId="6025A649" w:rsidR="007A638A" w:rsidRPr="00744841" w:rsidRDefault="007A638A">
            <w:pPr>
              <w:spacing w:after="0"/>
              <w:jc w:val="left"/>
              <w:rPr>
                <w:rFonts w:cs="Arial"/>
                <w:color w:val="auto"/>
                <w:sz w:val="20"/>
                <w:szCs w:val="20"/>
                <w:lang w:val="es-ES"/>
              </w:rPr>
            </w:pPr>
            <w:r w:rsidRPr="00744841">
              <w:rPr>
                <w:rFonts w:cs="Arial"/>
                <w:color w:val="auto"/>
                <w:sz w:val="20"/>
                <w:szCs w:val="20"/>
                <w:lang w:val="es-ES"/>
              </w:rPr>
              <w:t>PC26 SR</w:t>
            </w:r>
          </w:p>
        </w:tc>
      </w:tr>
      <w:tr w:rsidR="00D54A66" w:rsidRPr="00744841" w14:paraId="6695BA47" w14:textId="77777777">
        <w:trPr>
          <w:trHeight w:val="240"/>
        </w:trPr>
        <w:tc>
          <w:tcPr>
            <w:tcW w:w="2261" w:type="dxa"/>
            <w:tcBorders>
              <w:top w:val="single" w:sz="4" w:space="0" w:color="000000" w:themeColor="text1"/>
              <w:left w:val="single" w:sz="4" w:space="0" w:color="000000" w:themeColor="text1"/>
              <w:bottom w:val="single" w:sz="4" w:space="0" w:color="000000" w:themeColor="text1"/>
              <w:right w:val="nil"/>
            </w:tcBorders>
          </w:tcPr>
          <w:p w14:paraId="0509E838" w14:textId="77777777" w:rsidR="007A638A" w:rsidRPr="00744841" w:rsidRDefault="007A638A">
            <w:pPr>
              <w:spacing w:after="160"/>
              <w:jc w:val="left"/>
              <w:rPr>
                <w:rFonts w:cs="Arial"/>
                <w:color w:val="auto"/>
                <w:sz w:val="20"/>
                <w:szCs w:val="20"/>
                <w:lang w:val="es-ES"/>
              </w:rPr>
            </w:pPr>
          </w:p>
        </w:tc>
        <w:tc>
          <w:tcPr>
            <w:tcW w:w="4394" w:type="dxa"/>
            <w:tcBorders>
              <w:top w:val="single" w:sz="4" w:space="0" w:color="000000" w:themeColor="text1"/>
              <w:left w:val="nil"/>
              <w:bottom w:val="single" w:sz="4" w:space="0" w:color="000000" w:themeColor="text1"/>
              <w:right w:val="nil"/>
            </w:tcBorders>
          </w:tcPr>
          <w:p w14:paraId="681E6C7B" w14:textId="1DEC88AA" w:rsidR="007A638A" w:rsidRPr="00744841" w:rsidRDefault="000B14FC" w:rsidP="000B14FC">
            <w:pPr>
              <w:spacing w:after="0"/>
              <w:ind w:left="1481"/>
              <w:jc w:val="left"/>
              <w:rPr>
                <w:rFonts w:cs="Arial"/>
                <w:color w:val="auto"/>
                <w:sz w:val="20"/>
                <w:szCs w:val="20"/>
                <w:lang w:val="es-ES"/>
              </w:rPr>
            </w:pPr>
            <w:r w:rsidRPr="00744841">
              <w:rPr>
                <w:rFonts w:cs="Arial"/>
                <w:i/>
                <w:color w:val="auto"/>
                <w:sz w:val="20"/>
                <w:szCs w:val="20"/>
                <w:u w:val="single"/>
                <w:lang w:val="es-ES"/>
              </w:rPr>
              <w:t>Cuestiones de nomenclatura</w:t>
            </w:r>
            <w:r w:rsidR="007A638A" w:rsidRPr="00744841">
              <w:rPr>
                <w:rFonts w:cs="Arial"/>
                <w:i/>
                <w:color w:val="auto"/>
                <w:sz w:val="20"/>
                <w:szCs w:val="20"/>
                <w:lang w:val="es-ES"/>
              </w:rPr>
              <w:t xml:space="preserve"> </w:t>
            </w:r>
          </w:p>
        </w:tc>
        <w:tc>
          <w:tcPr>
            <w:tcW w:w="2971" w:type="dxa"/>
            <w:tcBorders>
              <w:top w:val="single" w:sz="4" w:space="0" w:color="000000" w:themeColor="text1"/>
              <w:left w:val="nil"/>
              <w:bottom w:val="single" w:sz="4" w:space="0" w:color="000000" w:themeColor="text1"/>
              <w:right w:val="single" w:sz="4" w:space="0" w:color="000000" w:themeColor="text1"/>
            </w:tcBorders>
          </w:tcPr>
          <w:p w14:paraId="7234971A" w14:textId="77777777" w:rsidR="007A638A" w:rsidRPr="00744841" w:rsidRDefault="007A638A">
            <w:pPr>
              <w:spacing w:after="160"/>
              <w:jc w:val="left"/>
              <w:rPr>
                <w:rFonts w:cs="Arial"/>
                <w:color w:val="auto"/>
                <w:sz w:val="20"/>
                <w:szCs w:val="20"/>
                <w:lang w:val="es-ES"/>
              </w:rPr>
            </w:pPr>
          </w:p>
        </w:tc>
      </w:tr>
      <w:tr w:rsidR="00D54A66" w:rsidRPr="00744841" w14:paraId="699AAE5F" w14:textId="77777777">
        <w:trPr>
          <w:trHeight w:val="701"/>
        </w:trPr>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81D1F" w14:textId="1402B8D1" w:rsidR="007A638A" w:rsidRPr="00744841" w:rsidRDefault="000B14FC" w:rsidP="000B14FC">
            <w:pPr>
              <w:spacing w:after="0"/>
              <w:ind w:right="70"/>
              <w:rPr>
                <w:rFonts w:cs="Arial"/>
                <w:color w:val="auto"/>
                <w:sz w:val="20"/>
                <w:szCs w:val="20"/>
                <w:lang w:val="es-ES"/>
              </w:rPr>
            </w:pPr>
            <w:r w:rsidRPr="00744841">
              <w:rPr>
                <w:rFonts w:cs="Arial"/>
                <w:color w:val="auto"/>
                <w:sz w:val="20"/>
                <w:szCs w:val="20"/>
                <w:lang w:val="es-ES"/>
              </w:rPr>
              <w:t>18.307 (Rev. CoP19) y 18.308 (Rev. CoP19)</w:t>
            </w:r>
            <w:r w:rsidR="007A638A" w:rsidRPr="00744841">
              <w:rPr>
                <w:rFonts w:cs="Arial"/>
                <w:color w:val="auto"/>
                <w:sz w:val="20"/>
                <w:szCs w:val="20"/>
                <w:lang w:val="es-ES"/>
              </w:rPr>
              <w:t xml:space="preserve">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21F43F" w14:textId="1EB29CC9" w:rsidR="007A638A" w:rsidRPr="00744841" w:rsidRDefault="000B14FC" w:rsidP="000B14FC">
            <w:pPr>
              <w:spacing w:after="0"/>
              <w:rPr>
                <w:rFonts w:cs="Arial"/>
                <w:color w:val="auto"/>
                <w:sz w:val="20"/>
                <w:szCs w:val="20"/>
                <w:lang w:val="es-ES"/>
              </w:rPr>
            </w:pPr>
            <w:r w:rsidRPr="00744841">
              <w:rPr>
                <w:rFonts w:cs="Arial"/>
                <w:color w:val="auto"/>
                <w:sz w:val="20"/>
                <w:szCs w:val="20"/>
                <w:lang w:val="es-ES"/>
              </w:rPr>
              <w:t>Elaboración de una lista de la CITES para palos de rosa (</w:t>
            </w:r>
            <w:proofErr w:type="spellStart"/>
            <w:r w:rsidRPr="00744841">
              <w:rPr>
                <w:rFonts w:cs="Arial"/>
                <w:i/>
                <w:color w:val="auto"/>
                <w:sz w:val="20"/>
                <w:szCs w:val="20"/>
                <w:lang w:val="es-ES"/>
              </w:rPr>
              <w:t>Dalbergia</w:t>
            </w:r>
            <w:proofErr w:type="spellEnd"/>
            <w:r w:rsidRPr="00744841">
              <w:rPr>
                <w:rFonts w:cs="Arial"/>
                <w:color w:val="auto"/>
                <w:sz w:val="20"/>
                <w:szCs w:val="20"/>
                <w:lang w:val="es-ES"/>
              </w:rPr>
              <w:t> </w:t>
            </w:r>
            <w:proofErr w:type="spellStart"/>
            <w:r w:rsidRPr="00744841">
              <w:rPr>
                <w:rFonts w:cs="Arial"/>
                <w:color w:val="auto"/>
                <w:sz w:val="20"/>
                <w:szCs w:val="20"/>
                <w:lang w:val="es-ES"/>
              </w:rPr>
              <w:t>spp</w:t>
            </w:r>
            <w:proofErr w:type="spellEnd"/>
            <w:r w:rsidRPr="00744841">
              <w:rPr>
                <w:rFonts w:cs="Arial"/>
                <w:color w:val="auto"/>
                <w:sz w:val="20"/>
                <w:szCs w:val="20"/>
                <w:lang w:val="es-ES"/>
              </w:rPr>
              <w:t>.)</w:t>
            </w:r>
            <w:r w:rsidR="007A638A" w:rsidRPr="00744841">
              <w:rPr>
                <w:rFonts w:cs="Arial"/>
                <w:color w:val="auto"/>
                <w:sz w:val="20"/>
                <w:szCs w:val="20"/>
                <w:lang w:val="es-ES"/>
              </w:rPr>
              <w:t xml:space="preserve"> </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49C124" w14:textId="77777777" w:rsidR="003666C5" w:rsidRPr="00744841" w:rsidRDefault="007A638A">
            <w:pPr>
              <w:spacing w:after="0"/>
              <w:jc w:val="left"/>
              <w:rPr>
                <w:rFonts w:cs="Arial"/>
                <w:color w:val="auto"/>
                <w:sz w:val="20"/>
                <w:szCs w:val="20"/>
                <w:lang w:val="es-ES"/>
              </w:rPr>
            </w:pPr>
            <w:r w:rsidRPr="00744841">
              <w:rPr>
                <w:rFonts w:cs="Arial"/>
                <w:color w:val="auto"/>
                <w:sz w:val="20"/>
                <w:szCs w:val="20"/>
                <w:lang w:val="es-ES"/>
              </w:rPr>
              <w:t xml:space="preserve">PC26 Doc. 43.1 </w:t>
            </w:r>
          </w:p>
          <w:p w14:paraId="6C0A7E43" w14:textId="4C384206" w:rsidR="007A638A" w:rsidRPr="00744841" w:rsidRDefault="007A638A">
            <w:pPr>
              <w:spacing w:after="0"/>
              <w:jc w:val="left"/>
              <w:rPr>
                <w:rFonts w:cs="Arial"/>
                <w:color w:val="auto"/>
                <w:sz w:val="20"/>
                <w:szCs w:val="20"/>
                <w:lang w:val="es-ES"/>
              </w:rPr>
            </w:pPr>
            <w:r w:rsidRPr="00744841">
              <w:rPr>
                <w:rFonts w:cs="Arial"/>
                <w:color w:val="auto"/>
                <w:sz w:val="20"/>
                <w:szCs w:val="20"/>
                <w:lang w:val="es-ES"/>
              </w:rPr>
              <w:t>PC26 SR</w:t>
            </w:r>
          </w:p>
        </w:tc>
      </w:tr>
      <w:tr w:rsidR="00D54A66" w:rsidRPr="005B0944" w14:paraId="4958775F" w14:textId="77777777">
        <w:trPr>
          <w:trHeight w:val="470"/>
        </w:trPr>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07137" w14:textId="5DAB46FD" w:rsidR="007A638A" w:rsidRPr="00744841" w:rsidRDefault="007A638A">
            <w:pPr>
              <w:spacing w:after="0"/>
              <w:jc w:val="left"/>
              <w:rPr>
                <w:rFonts w:cs="Arial"/>
                <w:color w:val="auto"/>
                <w:sz w:val="20"/>
                <w:szCs w:val="20"/>
                <w:lang w:val="es-ES"/>
              </w:rPr>
            </w:pPr>
            <w:r w:rsidRPr="00744841">
              <w:rPr>
                <w:rFonts w:cs="Arial"/>
                <w:color w:val="auto"/>
                <w:sz w:val="20"/>
                <w:szCs w:val="20"/>
                <w:lang w:val="es-ES"/>
              </w:rPr>
              <w:t xml:space="preserve">19.281 </w:t>
            </w:r>
            <w:r w:rsidR="00566EA5" w:rsidRPr="00744841">
              <w:rPr>
                <w:rFonts w:cs="Arial"/>
                <w:color w:val="auto"/>
                <w:sz w:val="20"/>
                <w:szCs w:val="20"/>
                <w:lang w:val="es-ES"/>
              </w:rPr>
              <w:t xml:space="preserve">y </w:t>
            </w:r>
            <w:r w:rsidRPr="00744841">
              <w:rPr>
                <w:rFonts w:cs="Arial"/>
                <w:color w:val="auto"/>
                <w:sz w:val="20"/>
                <w:szCs w:val="20"/>
                <w:lang w:val="es-ES"/>
              </w:rPr>
              <w:t xml:space="preserve">19.282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42ABD" w14:textId="1483B4B5" w:rsidR="007A638A" w:rsidRPr="00744841" w:rsidRDefault="00195A3F" w:rsidP="00195A3F">
            <w:pPr>
              <w:spacing w:after="0"/>
              <w:rPr>
                <w:rFonts w:cs="Arial"/>
                <w:color w:val="auto"/>
                <w:sz w:val="20"/>
                <w:szCs w:val="20"/>
                <w:lang w:val="es-ES"/>
              </w:rPr>
            </w:pPr>
            <w:r w:rsidRPr="00744841">
              <w:rPr>
                <w:rFonts w:cs="Arial"/>
                <w:color w:val="auto"/>
                <w:sz w:val="20"/>
                <w:szCs w:val="20"/>
                <w:lang w:val="es-ES"/>
              </w:rPr>
              <w:t>Nomenclatura para ébanos (</w:t>
            </w:r>
            <w:proofErr w:type="spellStart"/>
            <w:r w:rsidRPr="00744841">
              <w:rPr>
                <w:rFonts w:cs="Arial"/>
                <w:i/>
                <w:color w:val="auto"/>
                <w:sz w:val="20"/>
                <w:szCs w:val="20"/>
                <w:lang w:val="es-ES"/>
              </w:rPr>
              <w:t>Diospyros</w:t>
            </w:r>
            <w:proofErr w:type="spellEnd"/>
            <w:r w:rsidRPr="00744841">
              <w:rPr>
                <w:rFonts w:cs="Arial"/>
                <w:i/>
                <w:color w:val="auto"/>
                <w:sz w:val="20"/>
                <w:szCs w:val="20"/>
                <w:lang w:val="es-ES"/>
              </w:rPr>
              <w:t xml:space="preserve"> </w:t>
            </w:r>
            <w:proofErr w:type="spellStart"/>
            <w:r w:rsidRPr="00744841">
              <w:rPr>
                <w:rFonts w:cs="Arial"/>
                <w:color w:val="auto"/>
                <w:sz w:val="20"/>
                <w:szCs w:val="20"/>
                <w:lang w:val="es-ES"/>
              </w:rPr>
              <w:t>spp</w:t>
            </w:r>
            <w:proofErr w:type="spellEnd"/>
            <w:r w:rsidRPr="00744841">
              <w:rPr>
                <w:rFonts w:cs="Arial"/>
                <w:color w:val="auto"/>
                <w:sz w:val="20"/>
                <w:szCs w:val="20"/>
                <w:lang w:val="es-ES"/>
              </w:rPr>
              <w:t>.)</w:t>
            </w:r>
            <w:r w:rsidR="007A638A" w:rsidRPr="00744841">
              <w:rPr>
                <w:rFonts w:cs="Arial"/>
                <w:color w:val="auto"/>
                <w:sz w:val="20"/>
                <w:szCs w:val="20"/>
                <w:lang w:val="es-ES"/>
              </w:rPr>
              <w:t xml:space="preserve"> </w:t>
            </w:r>
            <w:r w:rsidRPr="00744841">
              <w:rPr>
                <w:rFonts w:cs="Arial"/>
                <w:color w:val="auto"/>
                <w:sz w:val="20"/>
                <w:szCs w:val="20"/>
                <w:lang w:val="es-ES"/>
              </w:rPr>
              <w:t>(Poblaciones de Madagascar)</w:t>
            </w:r>
            <w:r w:rsidR="007A638A" w:rsidRPr="00744841">
              <w:rPr>
                <w:rFonts w:cs="Arial"/>
                <w:color w:val="auto"/>
                <w:sz w:val="20"/>
                <w:szCs w:val="20"/>
                <w:lang w:val="es-ES"/>
              </w:rPr>
              <w:t xml:space="preserve"> </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2D1BD5" w14:textId="77777777" w:rsidR="003666C5" w:rsidRPr="00C64DE6" w:rsidRDefault="007A638A">
            <w:pPr>
              <w:spacing w:after="0"/>
              <w:jc w:val="left"/>
              <w:rPr>
                <w:rFonts w:cs="Arial"/>
                <w:color w:val="auto"/>
                <w:sz w:val="20"/>
                <w:szCs w:val="20"/>
                <w:lang w:val="de-CH"/>
              </w:rPr>
            </w:pPr>
            <w:r w:rsidRPr="00C64DE6">
              <w:rPr>
                <w:rFonts w:cs="Arial"/>
                <w:color w:val="auto"/>
                <w:sz w:val="20"/>
                <w:szCs w:val="20"/>
                <w:lang w:val="de-CH"/>
              </w:rPr>
              <w:t xml:space="preserve">PC26 Doc. Doc. 43.4 </w:t>
            </w:r>
          </w:p>
          <w:p w14:paraId="3552ECF0" w14:textId="716288F5" w:rsidR="007A638A" w:rsidRPr="00C64DE6" w:rsidRDefault="007A638A">
            <w:pPr>
              <w:spacing w:after="0"/>
              <w:jc w:val="left"/>
              <w:rPr>
                <w:rFonts w:cs="Arial"/>
                <w:color w:val="auto"/>
                <w:sz w:val="20"/>
                <w:szCs w:val="20"/>
                <w:lang w:val="de-CH"/>
              </w:rPr>
            </w:pPr>
            <w:r w:rsidRPr="00C64DE6">
              <w:rPr>
                <w:rFonts w:cs="Arial"/>
                <w:color w:val="auto"/>
                <w:sz w:val="20"/>
                <w:szCs w:val="20"/>
                <w:lang w:val="de-CH"/>
              </w:rPr>
              <w:t>PC26 SR</w:t>
            </w:r>
          </w:p>
        </w:tc>
      </w:tr>
      <w:tr w:rsidR="00D54A66" w:rsidRPr="00744841" w14:paraId="32382086" w14:textId="77777777">
        <w:trPr>
          <w:trHeight w:val="240"/>
        </w:trPr>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85C97" w14:textId="426BAE1B" w:rsidR="007A638A" w:rsidRPr="00744841" w:rsidRDefault="007A638A">
            <w:pPr>
              <w:spacing w:after="0"/>
              <w:jc w:val="left"/>
              <w:rPr>
                <w:rFonts w:cs="Arial"/>
                <w:color w:val="auto"/>
                <w:sz w:val="20"/>
                <w:szCs w:val="20"/>
                <w:lang w:val="es-ES"/>
              </w:rPr>
            </w:pPr>
            <w:r w:rsidRPr="00744841">
              <w:rPr>
                <w:rFonts w:cs="Arial"/>
                <w:color w:val="auto"/>
                <w:sz w:val="20"/>
                <w:szCs w:val="20"/>
                <w:lang w:val="es-ES"/>
              </w:rPr>
              <w:t xml:space="preserve">19.290 </w:t>
            </w:r>
            <w:r w:rsidR="00566EA5" w:rsidRPr="00744841">
              <w:rPr>
                <w:rFonts w:cs="Arial"/>
                <w:color w:val="auto"/>
                <w:sz w:val="20"/>
                <w:szCs w:val="20"/>
                <w:lang w:val="es-ES"/>
              </w:rPr>
              <w:t>y</w:t>
            </w:r>
            <w:r w:rsidRPr="00744841">
              <w:rPr>
                <w:rFonts w:cs="Arial"/>
                <w:color w:val="auto"/>
                <w:sz w:val="20"/>
                <w:szCs w:val="20"/>
                <w:lang w:val="es-ES"/>
              </w:rPr>
              <w:t xml:space="preserve"> 19.291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4E7F8" w14:textId="4DB19FDF" w:rsidR="007A638A" w:rsidRPr="00744841" w:rsidRDefault="00195A3F" w:rsidP="00195A3F">
            <w:pPr>
              <w:spacing w:after="0"/>
              <w:jc w:val="left"/>
              <w:rPr>
                <w:rFonts w:cs="Arial"/>
                <w:color w:val="auto"/>
                <w:sz w:val="20"/>
                <w:szCs w:val="20"/>
                <w:lang w:val="es-ES"/>
              </w:rPr>
            </w:pPr>
            <w:r w:rsidRPr="00744841">
              <w:rPr>
                <w:rFonts w:cs="Arial"/>
                <w:color w:val="auto"/>
                <w:sz w:val="20"/>
                <w:szCs w:val="20"/>
                <w:lang w:val="es-ES"/>
              </w:rPr>
              <w:t>Nomenclatura para tejos (</w:t>
            </w:r>
            <w:proofErr w:type="spellStart"/>
            <w:r w:rsidRPr="00744841">
              <w:rPr>
                <w:rFonts w:cs="Arial"/>
                <w:i/>
                <w:color w:val="auto"/>
                <w:sz w:val="20"/>
                <w:szCs w:val="20"/>
                <w:lang w:val="es-ES"/>
              </w:rPr>
              <w:t>Taxus</w:t>
            </w:r>
            <w:proofErr w:type="spellEnd"/>
            <w:r w:rsidRPr="00744841">
              <w:rPr>
                <w:rFonts w:cs="Arial"/>
                <w:color w:val="auto"/>
                <w:sz w:val="20"/>
                <w:szCs w:val="20"/>
                <w:lang w:val="es-ES"/>
              </w:rPr>
              <w:t xml:space="preserve"> </w:t>
            </w:r>
            <w:proofErr w:type="spellStart"/>
            <w:r w:rsidRPr="00744841">
              <w:rPr>
                <w:rFonts w:cs="Arial"/>
                <w:color w:val="auto"/>
                <w:sz w:val="20"/>
                <w:szCs w:val="20"/>
                <w:lang w:val="es-ES"/>
              </w:rPr>
              <w:t>spp</w:t>
            </w:r>
            <w:proofErr w:type="spellEnd"/>
            <w:r w:rsidRPr="00744841">
              <w:rPr>
                <w:rFonts w:cs="Arial"/>
                <w:color w:val="auto"/>
                <w:sz w:val="20"/>
                <w:szCs w:val="20"/>
                <w:lang w:val="es-ES"/>
              </w:rPr>
              <w:t>.)</w:t>
            </w:r>
            <w:r w:rsidR="007A638A" w:rsidRPr="00744841">
              <w:rPr>
                <w:rFonts w:cs="Arial"/>
                <w:color w:val="auto"/>
                <w:sz w:val="20"/>
                <w:szCs w:val="20"/>
                <w:lang w:val="es-ES"/>
              </w:rPr>
              <w:t xml:space="preserve"> </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24AA8" w14:textId="77777777" w:rsidR="003666C5" w:rsidRPr="00744841" w:rsidRDefault="007A638A">
            <w:pPr>
              <w:spacing w:after="0"/>
              <w:jc w:val="left"/>
              <w:rPr>
                <w:rFonts w:cs="Arial"/>
                <w:color w:val="auto"/>
                <w:sz w:val="20"/>
                <w:szCs w:val="20"/>
                <w:lang w:val="es-ES"/>
              </w:rPr>
            </w:pPr>
            <w:r w:rsidRPr="00744841">
              <w:rPr>
                <w:rFonts w:cs="Arial"/>
                <w:color w:val="auto"/>
                <w:sz w:val="20"/>
                <w:szCs w:val="20"/>
                <w:lang w:val="es-ES"/>
              </w:rPr>
              <w:t xml:space="preserve">PC26 Doc. 43.9 </w:t>
            </w:r>
          </w:p>
          <w:p w14:paraId="732A20C5" w14:textId="3044DA2A" w:rsidR="007A638A" w:rsidRPr="00744841" w:rsidRDefault="007A638A">
            <w:pPr>
              <w:spacing w:after="0"/>
              <w:jc w:val="left"/>
              <w:rPr>
                <w:rFonts w:cs="Arial"/>
                <w:color w:val="auto"/>
                <w:sz w:val="20"/>
                <w:szCs w:val="20"/>
                <w:lang w:val="es-ES"/>
              </w:rPr>
            </w:pPr>
            <w:r w:rsidRPr="00744841">
              <w:rPr>
                <w:rFonts w:cs="Arial"/>
                <w:color w:val="auto"/>
                <w:sz w:val="20"/>
                <w:szCs w:val="20"/>
                <w:lang w:val="es-ES"/>
              </w:rPr>
              <w:t>PC26 SR</w:t>
            </w:r>
          </w:p>
        </w:tc>
      </w:tr>
    </w:tbl>
    <w:p w14:paraId="160CD1DC" w14:textId="77777777" w:rsidR="003666C5" w:rsidRPr="00744841" w:rsidRDefault="007A638A" w:rsidP="007A638A">
      <w:pPr>
        <w:spacing w:after="0"/>
        <w:ind w:left="2"/>
        <w:jc w:val="left"/>
        <w:rPr>
          <w:rFonts w:cs="Arial"/>
          <w:color w:val="auto"/>
          <w:lang w:val="es-ES"/>
        </w:rPr>
      </w:pPr>
      <w:r w:rsidRPr="00744841">
        <w:rPr>
          <w:rFonts w:cs="Arial"/>
          <w:color w:val="auto"/>
          <w:lang w:val="es-ES"/>
        </w:rPr>
        <w:tab/>
        <w:t xml:space="preserve"> </w:t>
      </w:r>
    </w:p>
    <w:p w14:paraId="0DE4A0DC" w14:textId="34CE9D90" w:rsidR="003666C5" w:rsidRPr="00744841" w:rsidRDefault="00195A3F" w:rsidP="00195A3F">
      <w:pPr>
        <w:keepNext/>
        <w:spacing w:after="230"/>
        <w:rPr>
          <w:rFonts w:cs="Arial"/>
          <w:color w:val="auto"/>
          <w:lang w:val="es-ES"/>
        </w:rPr>
      </w:pPr>
      <w:r w:rsidRPr="00744841">
        <w:rPr>
          <w:rFonts w:cs="Arial"/>
          <w:color w:val="auto"/>
          <w:u w:val="single"/>
          <w:lang w:val="es-ES"/>
        </w:rPr>
        <w:t xml:space="preserve">Sección 3: Ejemplos de procesos intersectoriales de la Convención que contribuyan a mandatos mundiales relacionados con los bosques y a las políticas e iniciativas forestales bajo un enfoque programático posible de la </w:t>
      </w:r>
      <w:r w:rsidRPr="00744841">
        <w:rPr>
          <w:rFonts w:cs="Arial"/>
          <w:i/>
          <w:color w:val="auto"/>
          <w:u w:val="single"/>
          <w:lang w:val="es-ES"/>
        </w:rPr>
        <w:t xml:space="preserve">CITES y los bosques </w:t>
      </w:r>
      <w:r w:rsidRPr="00744841">
        <w:rPr>
          <w:rFonts w:cs="Arial"/>
          <w:color w:val="auto"/>
          <w:u w:val="single"/>
          <w:lang w:val="es-ES"/>
        </w:rPr>
        <w:t>y una lista de proyectos para el periodo comprendido entre la CoP19 y la CoP20</w:t>
      </w:r>
    </w:p>
    <w:p w14:paraId="66EE436E" w14:textId="1A79D7BE" w:rsidR="003666C5" w:rsidRPr="00744841" w:rsidRDefault="00195A3F" w:rsidP="00195A3F">
      <w:pPr>
        <w:ind w:left="-3" w:right="41"/>
        <w:rPr>
          <w:rFonts w:cs="Arial"/>
          <w:color w:val="auto"/>
          <w:lang w:val="es-ES"/>
        </w:rPr>
      </w:pPr>
      <w:r w:rsidRPr="00744841">
        <w:rPr>
          <w:rFonts w:cs="Arial"/>
          <w:color w:val="auto"/>
          <w:lang w:val="es-ES"/>
        </w:rPr>
        <w:t>Esta sección del compendio se dedica a una selección de proyectos presentados para las especies arbóreas relacionados con la aplicación de disposiciones y procesos intersectoriales de la Convención.</w:t>
      </w:r>
      <w:r w:rsidR="007A638A" w:rsidRPr="00744841">
        <w:rPr>
          <w:rFonts w:cs="Arial"/>
          <w:color w:val="auto"/>
          <w:lang w:val="es-ES"/>
        </w:rPr>
        <w:t xml:space="preserve">  </w:t>
      </w:r>
    </w:p>
    <w:p w14:paraId="34816003" w14:textId="7B69C87A" w:rsidR="003666C5" w:rsidRPr="00744841" w:rsidRDefault="00195A3F" w:rsidP="00195A3F">
      <w:pPr>
        <w:ind w:left="383" w:right="41" w:hanging="396"/>
        <w:rPr>
          <w:rFonts w:cs="Arial"/>
          <w:color w:val="auto"/>
          <w:lang w:val="es-ES"/>
        </w:rPr>
      </w:pPr>
      <w:r w:rsidRPr="00744841">
        <w:rPr>
          <w:rFonts w:cs="Arial"/>
          <w:color w:val="auto"/>
          <w:lang w:val="es-ES"/>
        </w:rPr>
        <w:t xml:space="preserve">3.1. El Artículo XIII y las Resoluciones Conf. 14.3, sobre </w:t>
      </w:r>
      <w:r w:rsidRPr="00744841">
        <w:rPr>
          <w:rFonts w:cs="Arial"/>
          <w:i/>
          <w:color w:val="auto"/>
          <w:lang w:val="es-ES"/>
        </w:rPr>
        <w:t xml:space="preserve">Procedimientos para el cumplimiento de la CITES </w:t>
      </w:r>
      <w:r w:rsidRPr="00744841">
        <w:rPr>
          <w:rFonts w:cs="Arial"/>
          <w:color w:val="auto"/>
          <w:lang w:val="es-ES"/>
        </w:rPr>
        <w:t xml:space="preserve">y Conf. 18.7 (Rev. CoP19), sobre </w:t>
      </w:r>
      <w:r w:rsidRPr="00744841">
        <w:rPr>
          <w:rFonts w:cs="Arial"/>
          <w:i/>
          <w:color w:val="auto"/>
          <w:lang w:val="es-ES"/>
        </w:rPr>
        <w:t>Dictámenes de adquisición legal</w:t>
      </w:r>
      <w:r w:rsidR="007A638A" w:rsidRPr="00744841">
        <w:rPr>
          <w:rFonts w:cs="Arial"/>
          <w:color w:val="auto"/>
          <w:lang w:val="es-ES"/>
        </w:rPr>
        <w:t xml:space="preserve"> </w:t>
      </w:r>
    </w:p>
    <w:p w14:paraId="18BC4A71" w14:textId="4AF9E26E" w:rsidR="00FF6B04" w:rsidRPr="00744841" w:rsidRDefault="00FF6B04" w:rsidP="00FF6B04">
      <w:pPr>
        <w:pStyle w:val="hg2"/>
        <w:ind w:left="397" w:hanging="397"/>
        <w:rPr>
          <w:color w:val="auto"/>
          <w:lang w:val="es-ES"/>
        </w:rPr>
      </w:pPr>
      <w:r w:rsidRPr="00744841">
        <w:rPr>
          <w:color w:val="auto"/>
          <w:lang w:val="es-ES"/>
        </w:rPr>
        <w:t>a)</w:t>
      </w:r>
      <w:r w:rsidRPr="00744841">
        <w:rPr>
          <w:color w:val="auto"/>
          <w:lang w:val="es-ES"/>
        </w:rPr>
        <w:tab/>
        <w:t xml:space="preserve">Apoyo en la aplicación de las recomendaciones aplicables para </w:t>
      </w:r>
      <w:proofErr w:type="spellStart"/>
      <w:r w:rsidRPr="00744841">
        <w:rPr>
          <w:i/>
          <w:iCs/>
          <w:color w:val="auto"/>
          <w:lang w:val="es-ES"/>
        </w:rPr>
        <w:t>Pterocarpus</w:t>
      </w:r>
      <w:proofErr w:type="spellEnd"/>
      <w:r w:rsidRPr="00744841">
        <w:rPr>
          <w:i/>
          <w:iCs/>
          <w:color w:val="auto"/>
          <w:lang w:val="es-ES"/>
        </w:rPr>
        <w:t xml:space="preserve"> </w:t>
      </w:r>
      <w:proofErr w:type="spellStart"/>
      <w:r w:rsidRPr="00744841">
        <w:rPr>
          <w:i/>
          <w:iCs/>
          <w:color w:val="auto"/>
          <w:lang w:val="es-ES"/>
        </w:rPr>
        <w:t>erinaceus</w:t>
      </w:r>
      <w:proofErr w:type="spellEnd"/>
      <w:r w:rsidRPr="00744841">
        <w:rPr>
          <w:color w:val="auto"/>
          <w:lang w:val="es-ES"/>
        </w:rPr>
        <w:t xml:space="preserve">/Estados del área de distribución sujetos a una recomendación de suspender el comercio sobre la base del cumplimiento y la observancia (Artículo XIII) (véase igualmente </w:t>
      </w:r>
      <w:hyperlink r:id="rId12">
        <w:r w:rsidRPr="00744841">
          <w:rPr>
            <w:rStyle w:val="Hyperlink"/>
            <w:color w:val="auto"/>
            <w:lang w:val="es-ES"/>
          </w:rPr>
          <w:t>https://cites.org/esp/resources/ref/suspend.php</w:t>
        </w:r>
      </w:hyperlink>
      <w:r w:rsidRPr="00744841">
        <w:rPr>
          <w:color w:val="auto"/>
          <w:lang w:val="es-ES"/>
        </w:rPr>
        <w:t xml:space="preserve">). Esto podría incluir el desarrollo de casos de estudio sobre los dictámenes de adquisición legal para </w:t>
      </w:r>
      <w:r w:rsidRPr="00744841">
        <w:rPr>
          <w:i/>
          <w:iCs/>
          <w:color w:val="auto"/>
          <w:lang w:val="es-ES"/>
        </w:rPr>
        <w:t xml:space="preserve">P. </w:t>
      </w:r>
      <w:proofErr w:type="spellStart"/>
      <w:r w:rsidRPr="00744841">
        <w:rPr>
          <w:i/>
          <w:iCs/>
          <w:color w:val="auto"/>
          <w:lang w:val="es-ES"/>
        </w:rPr>
        <w:t>erinaceus</w:t>
      </w:r>
      <w:proofErr w:type="spellEnd"/>
      <w:r w:rsidRPr="00744841">
        <w:rPr>
          <w:color w:val="auto"/>
          <w:lang w:val="es-ES"/>
        </w:rPr>
        <w:t xml:space="preserve"> para los Estados del área de distribución sujetos a recomendaciones de cumplimiento en el marco del proceso del Artículo XIII (véase la </w:t>
      </w:r>
      <w:hyperlink r:id="rId13" w:history="1">
        <w:r w:rsidRPr="00744841">
          <w:rPr>
            <w:rStyle w:val="Hyperlink"/>
            <w:color w:val="auto"/>
            <w:lang w:val="es-ES"/>
          </w:rPr>
          <w:t>Notificación a las Partes No. 2022/045</w:t>
        </w:r>
      </w:hyperlink>
      <w:r w:rsidRPr="00744841">
        <w:rPr>
          <w:color w:val="auto"/>
          <w:lang w:val="es-ES"/>
        </w:rPr>
        <w:t xml:space="preserve">). </w:t>
      </w:r>
    </w:p>
    <w:p w14:paraId="0A809816" w14:textId="6F707784" w:rsidR="00FF6B04" w:rsidRPr="00744841" w:rsidRDefault="00FF6B04" w:rsidP="00FF6B04">
      <w:pPr>
        <w:pStyle w:val="hg2"/>
        <w:ind w:left="397" w:hanging="397"/>
        <w:rPr>
          <w:color w:val="auto"/>
          <w:lang w:val="es-ES"/>
        </w:rPr>
      </w:pPr>
      <w:r w:rsidRPr="00744841">
        <w:rPr>
          <w:color w:val="auto"/>
          <w:lang w:val="es-ES"/>
        </w:rPr>
        <w:t>b)</w:t>
      </w:r>
      <w:r w:rsidRPr="00744841">
        <w:rPr>
          <w:color w:val="auto"/>
          <w:lang w:val="es-ES"/>
        </w:rPr>
        <w:tab/>
        <w:t xml:space="preserve">Apoyo en la aplicación de las recomendaciones aplicables para </w:t>
      </w:r>
      <w:proofErr w:type="spellStart"/>
      <w:r w:rsidRPr="00744841">
        <w:rPr>
          <w:i/>
          <w:iCs/>
          <w:color w:val="auto"/>
          <w:lang w:val="es-ES"/>
        </w:rPr>
        <w:t>Dalbergia</w:t>
      </w:r>
      <w:proofErr w:type="spellEnd"/>
      <w:r w:rsidRPr="00744841">
        <w:rPr>
          <w:color w:val="auto"/>
          <w:lang w:val="es-ES"/>
        </w:rPr>
        <w:t xml:space="preserve"> </w:t>
      </w:r>
      <w:proofErr w:type="spellStart"/>
      <w:r w:rsidRPr="00744841">
        <w:rPr>
          <w:color w:val="auto"/>
          <w:lang w:val="es-ES"/>
        </w:rPr>
        <w:t>spp</w:t>
      </w:r>
      <w:proofErr w:type="spellEnd"/>
      <w:r w:rsidRPr="00744841">
        <w:rPr>
          <w:color w:val="auto"/>
          <w:lang w:val="es-ES"/>
        </w:rPr>
        <w:t xml:space="preserve">. para la República Democrática Popular Lao, como un seguimiento de los resultados relevantes del </w:t>
      </w:r>
      <w:hyperlink r:id="rId14">
        <w:r w:rsidRPr="00744841">
          <w:rPr>
            <w:rStyle w:val="Hyperlink"/>
            <w:color w:val="auto"/>
            <w:lang w:val="es-ES"/>
          </w:rPr>
          <w:t>Proyecto CITES-FAO para mejorar la gobernanza forestal en el Bajo Mekong</w:t>
        </w:r>
      </w:hyperlink>
      <w:r w:rsidRPr="00744841">
        <w:rPr>
          <w:color w:val="auto"/>
          <w:lang w:val="es-ES"/>
        </w:rPr>
        <w:t>.</w:t>
      </w:r>
    </w:p>
    <w:p w14:paraId="410F4E4A" w14:textId="1BE5C244" w:rsidR="003666C5" w:rsidRPr="00744841" w:rsidRDefault="00E1697C" w:rsidP="00E1697C">
      <w:pPr>
        <w:ind w:left="383" w:right="41" w:hanging="396"/>
        <w:rPr>
          <w:rFonts w:cs="Arial"/>
          <w:color w:val="auto"/>
          <w:lang w:val="es-ES"/>
        </w:rPr>
      </w:pPr>
      <w:r w:rsidRPr="00744841">
        <w:rPr>
          <w:rFonts w:cs="Arial"/>
          <w:color w:val="auto"/>
          <w:lang w:val="es-ES"/>
        </w:rPr>
        <w:t xml:space="preserve">3.2. El Artículo IV y la Resolución Conf. 12.8 (Rev. CoP18), sobre </w:t>
      </w:r>
      <w:r w:rsidRPr="00744841">
        <w:rPr>
          <w:rFonts w:cs="Arial"/>
          <w:i/>
          <w:color w:val="auto"/>
          <w:lang w:val="es-ES"/>
        </w:rPr>
        <w:t>Examen del comercio significativo de especímenes de especies del Apéndice II</w:t>
      </w:r>
      <w:r w:rsidRPr="00744841">
        <w:rPr>
          <w:rFonts w:cs="Arial"/>
          <w:color w:val="auto"/>
          <w:lang w:val="es-ES"/>
        </w:rPr>
        <w:t xml:space="preserve"> (ECS)</w:t>
      </w:r>
      <w:r w:rsidR="007A638A" w:rsidRPr="00744841">
        <w:rPr>
          <w:rFonts w:cs="Arial"/>
          <w:color w:val="auto"/>
          <w:lang w:val="es-ES"/>
        </w:rPr>
        <w:t xml:space="preserve"> </w:t>
      </w:r>
    </w:p>
    <w:p w14:paraId="6D928106" w14:textId="74C32A7F" w:rsidR="003666C5" w:rsidRPr="00744841" w:rsidRDefault="00E1697C" w:rsidP="00E1697C">
      <w:pPr>
        <w:numPr>
          <w:ilvl w:val="0"/>
          <w:numId w:val="19"/>
        </w:numPr>
        <w:tabs>
          <w:tab w:val="clear" w:pos="397"/>
          <w:tab w:val="clear" w:pos="794"/>
          <w:tab w:val="clear" w:pos="1191"/>
          <w:tab w:val="clear" w:pos="1588"/>
          <w:tab w:val="clear" w:pos="1985"/>
        </w:tabs>
        <w:spacing w:after="233"/>
        <w:ind w:right="41" w:hanging="398"/>
        <w:rPr>
          <w:rFonts w:cs="Arial"/>
          <w:color w:val="auto"/>
          <w:lang w:val="es-ES"/>
        </w:rPr>
      </w:pPr>
      <w:r w:rsidRPr="00744841">
        <w:rPr>
          <w:rFonts w:cs="Arial"/>
          <w:color w:val="auto"/>
          <w:lang w:val="es-ES"/>
        </w:rPr>
        <w:t xml:space="preserve">Apoyo en la aplicación de las recomendaciones pendientes del ECS para los casos seleccionados actualmente de combinaciones especies arbóreas/país (véase el </w:t>
      </w:r>
      <w:r w:rsidR="00CC1CBC" w:rsidRPr="00744841">
        <w:rPr>
          <w:rFonts w:cs="Arial"/>
          <w:color w:val="auto"/>
          <w:lang w:val="es-ES"/>
        </w:rPr>
        <w:t>documento</w:t>
      </w:r>
      <w:r w:rsidRPr="00744841">
        <w:rPr>
          <w:rFonts w:cs="Arial"/>
          <w:color w:val="auto"/>
          <w:lang w:val="es-ES"/>
        </w:rPr>
        <w:t xml:space="preserve"> PC26 Doc. 16.2).</w:t>
      </w:r>
      <w:r w:rsidR="007A638A" w:rsidRPr="00744841">
        <w:rPr>
          <w:rFonts w:cs="Arial"/>
          <w:color w:val="auto"/>
          <w:lang w:val="es-ES"/>
        </w:rPr>
        <w:t xml:space="preserve"> </w:t>
      </w:r>
    </w:p>
    <w:p w14:paraId="533DE122" w14:textId="4C060D26" w:rsidR="003666C5" w:rsidRPr="00744841" w:rsidRDefault="00E1697C" w:rsidP="00E1697C">
      <w:pPr>
        <w:numPr>
          <w:ilvl w:val="0"/>
          <w:numId w:val="19"/>
        </w:numPr>
        <w:tabs>
          <w:tab w:val="clear" w:pos="397"/>
          <w:tab w:val="clear" w:pos="794"/>
          <w:tab w:val="clear" w:pos="1191"/>
          <w:tab w:val="clear" w:pos="1588"/>
          <w:tab w:val="clear" w:pos="1985"/>
        </w:tabs>
        <w:ind w:left="397" w:right="40" w:hanging="397"/>
        <w:rPr>
          <w:rFonts w:cs="Arial"/>
          <w:color w:val="auto"/>
          <w:lang w:val="es-ES"/>
        </w:rPr>
      </w:pPr>
      <w:r w:rsidRPr="00744841">
        <w:rPr>
          <w:rFonts w:cs="Arial"/>
          <w:color w:val="auto"/>
          <w:lang w:val="es-ES"/>
        </w:rPr>
        <w:t xml:space="preserve">Apoyo en la aplicación de recomendaciones de combinaciones </w:t>
      </w:r>
      <w:proofErr w:type="spellStart"/>
      <w:r w:rsidRPr="00744841">
        <w:rPr>
          <w:rFonts w:cs="Arial"/>
          <w:i/>
          <w:color w:val="auto"/>
          <w:lang w:val="es-ES"/>
        </w:rPr>
        <w:t>Pterocarpus</w:t>
      </w:r>
      <w:proofErr w:type="spellEnd"/>
      <w:r w:rsidRPr="00744841">
        <w:rPr>
          <w:rFonts w:cs="Arial"/>
          <w:i/>
          <w:color w:val="auto"/>
          <w:lang w:val="es-ES"/>
        </w:rPr>
        <w:t xml:space="preserve"> </w:t>
      </w:r>
      <w:proofErr w:type="spellStart"/>
      <w:r w:rsidRPr="00744841">
        <w:rPr>
          <w:rFonts w:cs="Arial"/>
          <w:i/>
          <w:color w:val="auto"/>
          <w:lang w:val="es-ES"/>
        </w:rPr>
        <w:t>erinaceu</w:t>
      </w:r>
      <w:r w:rsidRPr="00744841">
        <w:rPr>
          <w:rFonts w:cs="Arial"/>
          <w:color w:val="auto"/>
          <w:lang w:val="es-ES"/>
        </w:rPr>
        <w:t>s</w:t>
      </w:r>
      <w:proofErr w:type="spellEnd"/>
      <w:r w:rsidRPr="00744841">
        <w:rPr>
          <w:rFonts w:cs="Arial"/>
          <w:color w:val="auto"/>
          <w:lang w:val="es-ES"/>
        </w:rPr>
        <w:t xml:space="preserve">/país seleccionadas como un caso excepcional en la Fase 2 del proceso del ECS (véase también el </w:t>
      </w:r>
      <w:r w:rsidR="00CC1CBC" w:rsidRPr="00744841">
        <w:rPr>
          <w:rFonts w:cs="Arial"/>
          <w:color w:val="auto"/>
          <w:lang w:val="es-ES"/>
        </w:rPr>
        <w:t>documento</w:t>
      </w:r>
      <w:r w:rsidRPr="00744841">
        <w:rPr>
          <w:rFonts w:cs="Arial"/>
          <w:color w:val="auto"/>
          <w:lang w:val="es-ES"/>
        </w:rPr>
        <w:t xml:space="preserve"> PC26 Doc.</w:t>
      </w:r>
      <w:r w:rsidR="00FF6B04" w:rsidRPr="00744841">
        <w:rPr>
          <w:rFonts w:cs="Arial"/>
          <w:color w:val="auto"/>
          <w:lang w:val="es-ES"/>
        </w:rPr>
        <w:t> </w:t>
      </w:r>
      <w:r w:rsidRPr="00744841">
        <w:rPr>
          <w:rFonts w:cs="Arial"/>
          <w:color w:val="auto"/>
          <w:lang w:val="es-ES"/>
        </w:rPr>
        <w:t>16.4).</w:t>
      </w:r>
      <w:r w:rsidR="007A638A" w:rsidRPr="00744841">
        <w:rPr>
          <w:rFonts w:cs="Arial"/>
          <w:color w:val="auto"/>
          <w:lang w:val="es-ES"/>
        </w:rPr>
        <w:t xml:space="preserve">  </w:t>
      </w:r>
    </w:p>
    <w:p w14:paraId="79A4A298" w14:textId="6848DEED" w:rsidR="003666C5" w:rsidRPr="00744841" w:rsidRDefault="00E1697C" w:rsidP="00E1697C">
      <w:pPr>
        <w:ind w:left="-3" w:right="41"/>
        <w:rPr>
          <w:rFonts w:cs="Arial"/>
          <w:color w:val="auto"/>
          <w:lang w:val="es-ES"/>
        </w:rPr>
      </w:pPr>
      <w:r w:rsidRPr="00744841">
        <w:rPr>
          <w:rFonts w:cs="Arial"/>
          <w:color w:val="auto"/>
          <w:lang w:val="es-ES"/>
        </w:rPr>
        <w:t xml:space="preserve">3.3. El Artículo IV y la Resolución Conf. 16.7 (Rev. CoP17), sobre </w:t>
      </w:r>
      <w:r w:rsidRPr="00744841">
        <w:rPr>
          <w:rFonts w:cs="Arial"/>
          <w:i/>
          <w:color w:val="auto"/>
          <w:lang w:val="es-ES"/>
        </w:rPr>
        <w:t>Dictámenes de extracción no perjudicial</w:t>
      </w:r>
      <w:r w:rsidRPr="00744841">
        <w:rPr>
          <w:rFonts w:cs="Arial"/>
          <w:color w:val="auto"/>
          <w:lang w:val="es-ES"/>
        </w:rPr>
        <w:t xml:space="preserve"> (DENP)</w:t>
      </w:r>
      <w:r w:rsidR="007A638A" w:rsidRPr="00744841">
        <w:rPr>
          <w:rFonts w:cs="Arial"/>
          <w:color w:val="auto"/>
          <w:lang w:val="es-ES"/>
        </w:rPr>
        <w:t xml:space="preserve"> </w:t>
      </w:r>
    </w:p>
    <w:p w14:paraId="18E0A10E" w14:textId="0CD1C022" w:rsidR="003666C5" w:rsidRPr="00744841" w:rsidRDefault="00E1697C" w:rsidP="00E1697C">
      <w:pPr>
        <w:numPr>
          <w:ilvl w:val="0"/>
          <w:numId w:val="20"/>
        </w:numPr>
        <w:tabs>
          <w:tab w:val="clear" w:pos="397"/>
          <w:tab w:val="clear" w:pos="794"/>
          <w:tab w:val="clear" w:pos="1191"/>
          <w:tab w:val="clear" w:pos="1588"/>
          <w:tab w:val="clear" w:pos="1985"/>
        </w:tabs>
        <w:spacing w:after="233"/>
        <w:ind w:right="41" w:hanging="398"/>
        <w:rPr>
          <w:rFonts w:cs="Arial"/>
          <w:color w:val="auto"/>
          <w:lang w:val="es-ES"/>
        </w:rPr>
      </w:pPr>
      <w:r w:rsidRPr="00744841">
        <w:rPr>
          <w:rFonts w:cs="Arial"/>
          <w:color w:val="auto"/>
          <w:lang w:val="es-ES"/>
        </w:rPr>
        <w:t xml:space="preserve">Aplicación de las Decisiones 19.243 a 19.245, sobre </w:t>
      </w:r>
      <w:r w:rsidRPr="00744841">
        <w:rPr>
          <w:rFonts w:cs="Arial"/>
          <w:i/>
          <w:color w:val="auto"/>
          <w:lang w:val="es-ES"/>
        </w:rPr>
        <w:t>Especies arbóreas de palo de rosa [</w:t>
      </w:r>
      <w:proofErr w:type="spellStart"/>
      <w:r w:rsidRPr="00744841">
        <w:rPr>
          <w:rFonts w:cs="Arial"/>
          <w:i/>
          <w:color w:val="auto"/>
          <w:lang w:val="es-ES"/>
        </w:rPr>
        <w:t>Leguminosae</w:t>
      </w:r>
      <w:proofErr w:type="spellEnd"/>
      <w:r w:rsidRPr="00744841">
        <w:rPr>
          <w:rFonts w:cs="Arial"/>
          <w:i/>
          <w:color w:val="auto"/>
          <w:lang w:val="es-ES"/>
        </w:rPr>
        <w:t xml:space="preserve"> (</w:t>
      </w:r>
      <w:proofErr w:type="spellStart"/>
      <w:r w:rsidRPr="00744841">
        <w:rPr>
          <w:rFonts w:cs="Arial"/>
          <w:i/>
          <w:color w:val="auto"/>
          <w:lang w:val="es-ES"/>
        </w:rPr>
        <w:t>Fabaceae</w:t>
      </w:r>
      <w:proofErr w:type="spellEnd"/>
      <w:r w:rsidRPr="00744841">
        <w:rPr>
          <w:rFonts w:cs="Arial"/>
          <w:i/>
          <w:color w:val="auto"/>
          <w:lang w:val="es-ES"/>
        </w:rPr>
        <w:t xml:space="preserve">)] </w:t>
      </w:r>
      <w:r w:rsidRPr="00744841">
        <w:rPr>
          <w:rFonts w:cs="Arial"/>
          <w:color w:val="auto"/>
          <w:lang w:val="es-ES"/>
        </w:rPr>
        <w:t xml:space="preserve">(véase el </w:t>
      </w:r>
      <w:r w:rsidR="00CC1CBC" w:rsidRPr="00744841">
        <w:rPr>
          <w:rFonts w:cs="Arial"/>
          <w:color w:val="auto"/>
          <w:lang w:val="es-ES"/>
        </w:rPr>
        <w:t>documento</w:t>
      </w:r>
      <w:r w:rsidRPr="00744841">
        <w:rPr>
          <w:rFonts w:cs="Arial"/>
          <w:color w:val="auto"/>
          <w:lang w:val="es-ES"/>
        </w:rPr>
        <w:t xml:space="preserve"> PC26 Doc. 29).</w:t>
      </w:r>
      <w:r w:rsidR="007A638A" w:rsidRPr="00744841">
        <w:rPr>
          <w:rFonts w:cs="Arial"/>
          <w:color w:val="auto"/>
          <w:lang w:val="es-ES"/>
        </w:rPr>
        <w:t xml:space="preserve"> </w:t>
      </w:r>
    </w:p>
    <w:p w14:paraId="3AD59C5F" w14:textId="429C3A03" w:rsidR="003666C5" w:rsidRPr="00744841" w:rsidRDefault="00E1697C" w:rsidP="00E1697C">
      <w:pPr>
        <w:numPr>
          <w:ilvl w:val="0"/>
          <w:numId w:val="20"/>
        </w:numPr>
        <w:tabs>
          <w:tab w:val="clear" w:pos="397"/>
          <w:tab w:val="clear" w:pos="794"/>
          <w:tab w:val="clear" w:pos="1191"/>
          <w:tab w:val="clear" w:pos="1588"/>
          <w:tab w:val="clear" w:pos="1985"/>
        </w:tabs>
        <w:spacing w:after="233"/>
        <w:ind w:right="41" w:hanging="398"/>
        <w:rPr>
          <w:rFonts w:cs="Arial"/>
          <w:color w:val="auto"/>
          <w:lang w:val="es-ES"/>
        </w:rPr>
      </w:pPr>
      <w:r w:rsidRPr="00744841">
        <w:rPr>
          <w:rFonts w:cs="Arial"/>
          <w:color w:val="auto"/>
          <w:lang w:val="es-ES"/>
        </w:rPr>
        <w:lastRenderedPageBreak/>
        <w:t xml:space="preserve">Aplicación del flujo de trabajo del Proyecto sobre los DENP de la CITES sobre maderas de alto valor, incluyendo los progresos en las pruebas de cualquier nueva directriz sobre los DENP en el terreno (véase el </w:t>
      </w:r>
      <w:r w:rsidR="00CC1CBC" w:rsidRPr="00744841">
        <w:rPr>
          <w:rFonts w:cs="Arial"/>
          <w:color w:val="auto"/>
          <w:lang w:val="es-ES"/>
        </w:rPr>
        <w:t>documento</w:t>
      </w:r>
      <w:r w:rsidRPr="00744841">
        <w:rPr>
          <w:rFonts w:cs="Arial"/>
          <w:color w:val="auto"/>
          <w:lang w:val="es-ES"/>
        </w:rPr>
        <w:t xml:space="preserve"> PC26 Doc. 17).</w:t>
      </w:r>
      <w:r w:rsidR="007A638A" w:rsidRPr="00744841">
        <w:rPr>
          <w:rFonts w:cs="Arial"/>
          <w:color w:val="auto"/>
          <w:lang w:val="es-ES"/>
        </w:rPr>
        <w:t xml:space="preserve"> </w:t>
      </w:r>
    </w:p>
    <w:p w14:paraId="0872BD72" w14:textId="293E8A47" w:rsidR="003666C5" w:rsidRPr="00744841" w:rsidRDefault="00E1697C" w:rsidP="00E1697C">
      <w:pPr>
        <w:pStyle w:val="ListParagraph"/>
        <w:numPr>
          <w:ilvl w:val="1"/>
          <w:numId w:val="23"/>
        </w:numPr>
        <w:spacing w:after="232"/>
        <w:ind w:right="41"/>
        <w:jc w:val="both"/>
        <w:rPr>
          <w:rFonts w:ascii="Arial" w:hAnsi="Arial" w:cs="Arial"/>
          <w:sz w:val="20"/>
          <w:szCs w:val="20"/>
          <w:lang w:val="es-ES"/>
        </w:rPr>
      </w:pPr>
      <w:r w:rsidRPr="00744841">
        <w:rPr>
          <w:rFonts w:ascii="Arial" w:hAnsi="Arial" w:cs="Arial"/>
          <w:sz w:val="20"/>
          <w:szCs w:val="20"/>
          <w:lang w:val="es-ES"/>
        </w:rPr>
        <w:t xml:space="preserve">El Artículo XII y la Resolución Conf. 19.4, sobre </w:t>
      </w:r>
      <w:r w:rsidRPr="00744841">
        <w:rPr>
          <w:rFonts w:ascii="Arial" w:hAnsi="Arial" w:cs="Arial"/>
          <w:i/>
          <w:sz w:val="20"/>
          <w:szCs w:val="20"/>
          <w:lang w:val="es-ES"/>
        </w:rPr>
        <w:t>Materiales para la identificación de especímenes de especies incluidas en los Apéndices de la CITES</w:t>
      </w:r>
      <w:r w:rsidR="007A638A" w:rsidRPr="00744841">
        <w:rPr>
          <w:rFonts w:ascii="Arial" w:hAnsi="Arial" w:cs="Arial"/>
          <w:sz w:val="20"/>
          <w:szCs w:val="20"/>
          <w:lang w:val="es-ES"/>
        </w:rPr>
        <w:t xml:space="preserve"> </w:t>
      </w:r>
    </w:p>
    <w:p w14:paraId="49DC287B" w14:textId="51C8A222" w:rsidR="003666C5" w:rsidRPr="00744841" w:rsidRDefault="00E92FAF" w:rsidP="00E92FAF">
      <w:pPr>
        <w:ind w:right="41" w:hanging="13"/>
        <w:rPr>
          <w:rFonts w:cs="Arial"/>
          <w:color w:val="auto"/>
          <w:lang w:val="es-ES"/>
        </w:rPr>
      </w:pPr>
      <w:r w:rsidRPr="00744841">
        <w:rPr>
          <w:rFonts w:cs="Arial"/>
          <w:color w:val="auto"/>
          <w:lang w:val="es-ES"/>
        </w:rPr>
        <w:t xml:space="preserve">Aplicación de las Decisiones 19.145 a 19.148, sobre </w:t>
      </w:r>
      <w:r w:rsidRPr="00744841">
        <w:rPr>
          <w:rFonts w:cs="Arial"/>
          <w:i/>
          <w:color w:val="auto"/>
          <w:lang w:val="es-ES"/>
        </w:rPr>
        <w:t xml:space="preserve">Identificación de la madera y otros productos madereros </w:t>
      </w:r>
      <w:r w:rsidRPr="00744841">
        <w:rPr>
          <w:rFonts w:cs="Arial"/>
          <w:color w:val="auto"/>
          <w:lang w:val="es-ES"/>
        </w:rPr>
        <w:t xml:space="preserve">(véase también el </w:t>
      </w:r>
      <w:r w:rsidR="00CC1CBC" w:rsidRPr="00744841">
        <w:rPr>
          <w:rFonts w:cs="Arial"/>
          <w:color w:val="auto"/>
          <w:lang w:val="es-ES"/>
        </w:rPr>
        <w:t>documento</w:t>
      </w:r>
      <w:r w:rsidRPr="00744841">
        <w:rPr>
          <w:rFonts w:cs="Arial"/>
          <w:color w:val="auto"/>
          <w:lang w:val="es-ES"/>
        </w:rPr>
        <w:t xml:space="preserve"> PC26 Doc. 20).</w:t>
      </w:r>
      <w:r w:rsidR="007A638A" w:rsidRPr="00744841">
        <w:rPr>
          <w:rFonts w:cs="Arial"/>
          <w:color w:val="auto"/>
          <w:lang w:val="es-ES"/>
        </w:rPr>
        <w:t xml:space="preserve"> </w:t>
      </w:r>
    </w:p>
    <w:p w14:paraId="6134FFF3" w14:textId="0641E6C3" w:rsidR="003666C5" w:rsidRPr="00744841" w:rsidRDefault="00E92FAF" w:rsidP="00E92FAF">
      <w:pPr>
        <w:pStyle w:val="ListParagraph"/>
        <w:numPr>
          <w:ilvl w:val="1"/>
          <w:numId w:val="23"/>
        </w:numPr>
        <w:spacing w:after="233"/>
        <w:ind w:right="41"/>
        <w:jc w:val="both"/>
        <w:rPr>
          <w:rFonts w:ascii="Arial" w:hAnsi="Arial" w:cs="Arial"/>
          <w:sz w:val="20"/>
          <w:szCs w:val="20"/>
          <w:lang w:val="es-ES"/>
        </w:rPr>
      </w:pPr>
      <w:r w:rsidRPr="00744841">
        <w:rPr>
          <w:rFonts w:ascii="Arial" w:hAnsi="Arial" w:cs="Arial"/>
          <w:sz w:val="20"/>
          <w:szCs w:val="20"/>
          <w:lang w:val="es-ES"/>
        </w:rPr>
        <w:t xml:space="preserve">La Resolución Conf. 19.2, sobre </w:t>
      </w:r>
      <w:r w:rsidRPr="00744841">
        <w:rPr>
          <w:rFonts w:ascii="Arial" w:hAnsi="Arial" w:cs="Arial"/>
          <w:i/>
          <w:sz w:val="20"/>
          <w:szCs w:val="20"/>
          <w:lang w:val="es-ES"/>
        </w:rPr>
        <w:t>Fomento de capacidad</w:t>
      </w:r>
      <w:r w:rsidR="007A638A" w:rsidRPr="00744841">
        <w:rPr>
          <w:rFonts w:ascii="Arial" w:hAnsi="Arial" w:cs="Arial"/>
          <w:sz w:val="20"/>
          <w:szCs w:val="20"/>
          <w:lang w:val="es-ES"/>
        </w:rPr>
        <w:t xml:space="preserve"> </w:t>
      </w:r>
    </w:p>
    <w:p w14:paraId="2FE0340B" w14:textId="0808460E" w:rsidR="00915D88" w:rsidRPr="00E428FD" w:rsidRDefault="00E92FAF" w:rsidP="00E428FD">
      <w:pPr>
        <w:tabs>
          <w:tab w:val="right" w:pos="9695"/>
        </w:tabs>
        <w:spacing w:after="8"/>
        <w:ind w:hanging="13"/>
        <w:rPr>
          <w:rFonts w:cs="Arial"/>
          <w:i/>
          <w:color w:val="auto"/>
          <w:lang w:val="es-ES"/>
        </w:rPr>
      </w:pPr>
      <w:r w:rsidRPr="00744841">
        <w:rPr>
          <w:rFonts w:cs="Arial"/>
          <w:color w:val="auto"/>
          <w:lang w:val="es-ES"/>
        </w:rPr>
        <w:t xml:space="preserve">Aplicación de los proyectos y programas emblemáticos relevantes para las especies arbóreas incluidos en la CITES, como el </w:t>
      </w:r>
      <w:r w:rsidRPr="00744841">
        <w:rPr>
          <w:rFonts w:cs="Arial"/>
          <w:i/>
          <w:color w:val="auto"/>
          <w:lang w:val="es-ES"/>
        </w:rPr>
        <w:t>Programa de la CITES sobre Especies Arbóreas</w:t>
      </w:r>
      <w:r w:rsidRPr="00744841">
        <w:rPr>
          <w:rFonts w:cs="Arial"/>
          <w:color w:val="auto"/>
          <w:lang w:val="es-ES"/>
        </w:rPr>
        <w:t xml:space="preserve"> (CTSP; Decisiones 19.49 y 19.50), el </w:t>
      </w:r>
      <w:hyperlink r:id="rId15" w:history="1">
        <w:r w:rsidRPr="00744841">
          <w:rPr>
            <w:rStyle w:val="Hyperlink"/>
            <w:rFonts w:cs="Arial"/>
            <w:color w:val="auto"/>
            <w:lang w:val="es-ES"/>
          </w:rPr>
          <w:t>Proyecto CITES-FAO para mejorar la gobernanza forestal en el Bajo Mekong</w:t>
        </w:r>
      </w:hyperlink>
      <w:r w:rsidRPr="00744841">
        <w:rPr>
          <w:rFonts w:cs="Arial"/>
          <w:color w:val="auto"/>
          <w:lang w:val="es-ES"/>
        </w:rPr>
        <w:t xml:space="preserve"> y otros proyectos futuros de fomento de capacidad sobre las especies arbóreas gestionados por la Secretaría durante el periodo CoP19 a CoP20.  </w:t>
      </w:r>
    </w:p>
    <w:sectPr w:rsidR="00915D88" w:rsidRPr="00E428FD" w:rsidSect="00B554BF">
      <w:footerReference w:type="default" r:id="rId16"/>
      <w:type w:val="continuous"/>
      <w:pgSz w:w="11907" w:h="16840" w:code="9"/>
      <w:pgMar w:top="1134" w:right="1134" w:bottom="1134" w:left="1134"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6287D" w14:textId="77777777" w:rsidR="00F40F7C" w:rsidRDefault="00F40F7C">
      <w:pPr>
        <w:spacing w:after="0"/>
      </w:pPr>
      <w:r>
        <w:separator/>
      </w:r>
    </w:p>
  </w:endnote>
  <w:endnote w:type="continuationSeparator" w:id="0">
    <w:p w14:paraId="2F3308DB" w14:textId="77777777" w:rsidR="00F40F7C" w:rsidRDefault="00F40F7C">
      <w:pPr>
        <w:spacing w:after="0"/>
      </w:pPr>
      <w:r>
        <w:continuationSeparator/>
      </w:r>
    </w:p>
  </w:endnote>
  <w:endnote w:type="continuationNotice" w:id="1">
    <w:p w14:paraId="7200D069" w14:textId="77777777" w:rsidR="00F40F7C" w:rsidRDefault="00F40F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730F" w14:textId="56910860" w:rsidR="00D2502D" w:rsidRPr="00B554BF" w:rsidRDefault="00B95C84" w:rsidP="00DC1F28">
    <w:pPr>
      <w:pStyle w:val="Footer"/>
      <w:rPr>
        <w:rFonts w:cs="Arial"/>
      </w:rPr>
    </w:pPr>
    <w:r>
      <w:rPr>
        <w:rFonts w:cs="Arial"/>
      </w:rPr>
      <w:t>PC26</w:t>
    </w:r>
    <w:r w:rsidR="00D2502D" w:rsidRPr="00B554BF">
      <w:rPr>
        <w:rFonts w:cs="Arial"/>
      </w:rPr>
      <w:t> </w:t>
    </w:r>
    <w:r w:rsidR="000B41C8">
      <w:rPr>
        <w:rFonts w:cs="Arial"/>
      </w:rPr>
      <w:t>S</w:t>
    </w:r>
    <w:r w:rsidR="00AD0748">
      <w:rPr>
        <w:rFonts w:cs="Arial"/>
      </w:rPr>
      <w:t>R</w:t>
    </w:r>
    <w:r w:rsidR="00D2502D" w:rsidRPr="00B554BF">
      <w:rPr>
        <w:rStyle w:val="PageNumber"/>
        <w:rFonts w:ascii="Arial" w:hAnsi="Arial" w:cs="Arial"/>
      </w:rPr>
      <w:t xml:space="preserve"> – p. </w:t>
    </w:r>
    <w:r w:rsidR="00D2502D" w:rsidRPr="00B554BF">
      <w:rPr>
        <w:rStyle w:val="PageNumber"/>
        <w:rFonts w:ascii="Arial" w:hAnsi="Arial" w:cs="Arial"/>
      </w:rPr>
      <w:fldChar w:fldCharType="begin"/>
    </w:r>
    <w:r w:rsidR="00D2502D" w:rsidRPr="00B554BF">
      <w:rPr>
        <w:rStyle w:val="PageNumber"/>
        <w:rFonts w:ascii="Arial" w:hAnsi="Arial" w:cs="Arial"/>
      </w:rPr>
      <w:instrText xml:space="preserve"> PAGE </w:instrText>
    </w:r>
    <w:r w:rsidR="00D2502D" w:rsidRPr="00B554BF">
      <w:rPr>
        <w:rStyle w:val="PageNumber"/>
        <w:rFonts w:ascii="Arial" w:hAnsi="Arial" w:cs="Arial"/>
      </w:rPr>
      <w:fldChar w:fldCharType="separate"/>
    </w:r>
    <w:r w:rsidR="004B2852">
      <w:rPr>
        <w:rStyle w:val="PageNumber"/>
        <w:rFonts w:ascii="Arial" w:hAnsi="Arial" w:cs="Arial"/>
        <w:noProof/>
      </w:rPr>
      <w:t>1</w:t>
    </w:r>
    <w:r w:rsidR="00D2502D" w:rsidRPr="00B554BF">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E4BE0" w14:textId="77777777" w:rsidR="00F40F7C" w:rsidRDefault="00F40F7C" w:rsidP="00082CE3">
      <w:pPr>
        <w:spacing w:before="100" w:after="0"/>
      </w:pPr>
      <w:r>
        <w:separator/>
      </w:r>
    </w:p>
  </w:footnote>
  <w:footnote w:type="continuationSeparator" w:id="0">
    <w:p w14:paraId="43CBC740" w14:textId="77777777" w:rsidR="00F40F7C" w:rsidRDefault="00F40F7C">
      <w:pPr>
        <w:spacing w:after="0"/>
      </w:pPr>
      <w:r>
        <w:continuationSeparator/>
      </w:r>
    </w:p>
  </w:footnote>
  <w:footnote w:type="continuationNotice" w:id="1">
    <w:p w14:paraId="6C7D34CF" w14:textId="77777777" w:rsidR="00F40F7C" w:rsidRDefault="00F40F7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D02D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7AA0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9213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BE67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DC00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78A9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36C3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CA2C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A41D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E403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C04EAF"/>
    <w:multiLevelType w:val="multilevel"/>
    <w:tmpl w:val="B7F48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4857AA"/>
    <w:multiLevelType w:val="multilevel"/>
    <w:tmpl w:val="D73C9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FE3425"/>
    <w:multiLevelType w:val="hybridMultilevel"/>
    <w:tmpl w:val="718EBE80"/>
    <w:lvl w:ilvl="0" w:tplc="CF92C520">
      <w:start w:val="1"/>
      <w:numFmt w:val="lowerLetter"/>
      <w:lvlText w:val="%1)"/>
      <w:lvlJc w:val="left"/>
      <w:pPr>
        <w:ind w:left="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320734">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ECAF504">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DE24026">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BEE2B8">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FACBDA6">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E9EB0C6">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22C100">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72E41AC">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195776E"/>
    <w:multiLevelType w:val="hybridMultilevel"/>
    <w:tmpl w:val="23024E24"/>
    <w:lvl w:ilvl="0" w:tplc="0A5E116A">
      <w:start w:val="1"/>
      <w:numFmt w:val="lowerLetter"/>
      <w:lvlText w:val="%1)"/>
      <w:lvlJc w:val="left"/>
      <w:pPr>
        <w:ind w:left="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E2C22E">
      <w:start w:val="1"/>
      <w:numFmt w:val="lowerLetter"/>
      <w:lvlText w:val="%2"/>
      <w:lvlJc w:val="left"/>
      <w:pPr>
        <w:ind w:left="14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B62EAA">
      <w:start w:val="1"/>
      <w:numFmt w:val="lowerRoman"/>
      <w:lvlText w:val="%3"/>
      <w:lvlJc w:val="left"/>
      <w:pPr>
        <w:ind w:left="21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5045F82">
      <w:start w:val="1"/>
      <w:numFmt w:val="decimal"/>
      <w:lvlText w:val="%4"/>
      <w:lvlJc w:val="left"/>
      <w:pPr>
        <w:ind w:left="29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901436">
      <w:start w:val="1"/>
      <w:numFmt w:val="lowerLetter"/>
      <w:lvlText w:val="%5"/>
      <w:lvlJc w:val="left"/>
      <w:pPr>
        <w:ind w:left="36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43E2D7C">
      <w:start w:val="1"/>
      <w:numFmt w:val="lowerRoman"/>
      <w:lvlText w:val="%6"/>
      <w:lvlJc w:val="left"/>
      <w:pPr>
        <w:ind w:left="43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B029C2C">
      <w:start w:val="1"/>
      <w:numFmt w:val="decimal"/>
      <w:lvlText w:val="%7"/>
      <w:lvlJc w:val="left"/>
      <w:pPr>
        <w:ind w:left="50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2E7970">
      <w:start w:val="1"/>
      <w:numFmt w:val="lowerLetter"/>
      <w:lvlText w:val="%8"/>
      <w:lvlJc w:val="left"/>
      <w:pPr>
        <w:ind w:left="57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E6573A">
      <w:start w:val="1"/>
      <w:numFmt w:val="lowerRoman"/>
      <w:lvlText w:val="%9"/>
      <w:lvlJc w:val="left"/>
      <w:pPr>
        <w:ind w:left="6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544481B"/>
    <w:multiLevelType w:val="multilevel"/>
    <w:tmpl w:val="06924F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064861"/>
    <w:multiLevelType w:val="multilevel"/>
    <w:tmpl w:val="E7F8D7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A96611"/>
    <w:multiLevelType w:val="hybridMultilevel"/>
    <w:tmpl w:val="5DD426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631B75"/>
    <w:multiLevelType w:val="hybridMultilevel"/>
    <w:tmpl w:val="6AE8B5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911D31"/>
    <w:multiLevelType w:val="multilevel"/>
    <w:tmpl w:val="248A3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156773"/>
    <w:multiLevelType w:val="hybridMultilevel"/>
    <w:tmpl w:val="D8E0C196"/>
    <w:lvl w:ilvl="0" w:tplc="1C8A2260">
      <w:start w:val="1"/>
      <w:numFmt w:val="lowerLetter"/>
      <w:lvlText w:val="%1)"/>
      <w:lvlJc w:val="left"/>
      <w:pPr>
        <w:ind w:left="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62B964">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77CA3B8">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4036A4">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FC027C">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786928">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B5AA024">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702C26">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C8AD5E2">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35E3A93"/>
    <w:multiLevelType w:val="hybridMultilevel"/>
    <w:tmpl w:val="D394800E"/>
    <w:lvl w:ilvl="0" w:tplc="FE1AB80E">
      <w:start w:val="1"/>
      <w:numFmt w:val="lowerLetter"/>
      <w:lvlText w:val="%1)"/>
      <w:lvlJc w:val="left"/>
      <w:pPr>
        <w:ind w:left="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78ADF0">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58485A">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C87AC6">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5EFC6C">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E6CE630">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52E511A">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3C2858">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E252F2">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5784C05"/>
    <w:multiLevelType w:val="multilevel"/>
    <w:tmpl w:val="36D012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6526E8"/>
    <w:multiLevelType w:val="multilevel"/>
    <w:tmpl w:val="98CA06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E017B9"/>
    <w:multiLevelType w:val="multilevel"/>
    <w:tmpl w:val="7F7AD86E"/>
    <w:lvl w:ilvl="0">
      <w:start w:val="3"/>
      <w:numFmt w:val="decimal"/>
      <w:lvlText w:val="%1."/>
      <w:lvlJc w:val="left"/>
      <w:pPr>
        <w:ind w:left="360" w:hanging="360"/>
      </w:pPr>
      <w:rPr>
        <w:rFonts w:hint="default"/>
      </w:rPr>
    </w:lvl>
    <w:lvl w:ilvl="1">
      <w:start w:val="4"/>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24" w15:restartNumberingAfterBreak="0">
    <w:nsid w:val="4AEB5061"/>
    <w:multiLevelType w:val="hybridMultilevel"/>
    <w:tmpl w:val="F83CB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1156A6"/>
    <w:multiLevelType w:val="multilevel"/>
    <w:tmpl w:val="E48C807E"/>
    <w:lvl w:ilvl="0">
      <w:start w:val="7"/>
      <w:numFmt w:val="decimal"/>
      <w:lvlText w:val="%1"/>
      <w:lvlJc w:val="left"/>
      <w:pPr>
        <w:tabs>
          <w:tab w:val="num" w:pos="927"/>
        </w:tabs>
        <w:ind w:left="927" w:hanging="360"/>
      </w:pPr>
      <w:rPr>
        <w:rFonts w:hint="default"/>
      </w:rPr>
    </w:lvl>
    <w:lvl w:ilvl="1">
      <w:start w:val="2"/>
      <w:numFmt w:val="decimal"/>
      <w:lvlText w:val="%1.%2"/>
      <w:lvlJc w:val="left"/>
      <w:pPr>
        <w:tabs>
          <w:tab w:val="num" w:pos="1504"/>
        </w:tabs>
        <w:ind w:left="1504" w:hanging="360"/>
      </w:pPr>
      <w:rPr>
        <w:rFonts w:hint="default"/>
      </w:rPr>
    </w:lvl>
    <w:lvl w:ilvl="2">
      <w:start w:val="1"/>
      <w:numFmt w:val="decimal"/>
      <w:lvlText w:val="%1.%2.%3"/>
      <w:lvlJc w:val="left"/>
      <w:pPr>
        <w:tabs>
          <w:tab w:val="num" w:pos="2441"/>
        </w:tabs>
        <w:ind w:left="2441" w:hanging="720"/>
      </w:pPr>
      <w:rPr>
        <w:rFonts w:hint="default"/>
      </w:rPr>
    </w:lvl>
    <w:lvl w:ilvl="3">
      <w:start w:val="1"/>
      <w:numFmt w:val="decimal"/>
      <w:lvlText w:val="%1.%2.%3.%4"/>
      <w:lvlJc w:val="left"/>
      <w:pPr>
        <w:tabs>
          <w:tab w:val="num" w:pos="3378"/>
        </w:tabs>
        <w:ind w:left="3378" w:hanging="1080"/>
      </w:pPr>
      <w:rPr>
        <w:rFonts w:hint="default"/>
      </w:rPr>
    </w:lvl>
    <w:lvl w:ilvl="4">
      <w:start w:val="1"/>
      <w:numFmt w:val="decimal"/>
      <w:lvlText w:val="%1.%2.%3.%4.%5"/>
      <w:lvlJc w:val="left"/>
      <w:pPr>
        <w:tabs>
          <w:tab w:val="num" w:pos="3955"/>
        </w:tabs>
        <w:ind w:left="3955" w:hanging="1080"/>
      </w:pPr>
      <w:rPr>
        <w:rFonts w:hint="default"/>
      </w:rPr>
    </w:lvl>
    <w:lvl w:ilvl="5">
      <w:start w:val="1"/>
      <w:numFmt w:val="decimal"/>
      <w:lvlText w:val="%1.%2.%3.%4.%5.%6"/>
      <w:lvlJc w:val="left"/>
      <w:pPr>
        <w:tabs>
          <w:tab w:val="num" w:pos="4892"/>
        </w:tabs>
        <w:ind w:left="4892" w:hanging="1440"/>
      </w:pPr>
      <w:rPr>
        <w:rFonts w:hint="default"/>
      </w:rPr>
    </w:lvl>
    <w:lvl w:ilvl="6">
      <w:start w:val="1"/>
      <w:numFmt w:val="decimal"/>
      <w:lvlText w:val="%1.%2.%3.%4.%5.%6.%7"/>
      <w:lvlJc w:val="left"/>
      <w:pPr>
        <w:tabs>
          <w:tab w:val="num" w:pos="5469"/>
        </w:tabs>
        <w:ind w:left="5469" w:hanging="1440"/>
      </w:pPr>
      <w:rPr>
        <w:rFonts w:hint="default"/>
      </w:rPr>
    </w:lvl>
    <w:lvl w:ilvl="7">
      <w:start w:val="1"/>
      <w:numFmt w:val="decimal"/>
      <w:lvlText w:val="%1.%2.%3.%4.%5.%6.%7.%8"/>
      <w:lvlJc w:val="left"/>
      <w:pPr>
        <w:tabs>
          <w:tab w:val="num" w:pos="6406"/>
        </w:tabs>
        <w:ind w:left="6406" w:hanging="1800"/>
      </w:pPr>
      <w:rPr>
        <w:rFonts w:hint="default"/>
      </w:rPr>
    </w:lvl>
    <w:lvl w:ilvl="8">
      <w:start w:val="1"/>
      <w:numFmt w:val="decimal"/>
      <w:lvlText w:val="%1.%2.%3.%4.%5.%6.%7.%8.%9"/>
      <w:lvlJc w:val="left"/>
      <w:pPr>
        <w:tabs>
          <w:tab w:val="num" w:pos="7343"/>
        </w:tabs>
        <w:ind w:left="7343" w:hanging="2160"/>
      </w:pPr>
      <w:rPr>
        <w:rFonts w:hint="default"/>
      </w:rPr>
    </w:lvl>
  </w:abstractNum>
  <w:abstractNum w:abstractNumId="26" w15:restartNumberingAfterBreak="0">
    <w:nsid w:val="55D46744"/>
    <w:multiLevelType w:val="hybridMultilevel"/>
    <w:tmpl w:val="0848FECC"/>
    <w:lvl w:ilvl="0" w:tplc="5854E1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B06124"/>
    <w:multiLevelType w:val="multilevel"/>
    <w:tmpl w:val="F8E4C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FD18D2"/>
    <w:multiLevelType w:val="multilevel"/>
    <w:tmpl w:val="ABECF1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DA7F61"/>
    <w:multiLevelType w:val="multilevel"/>
    <w:tmpl w:val="089E0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000D03"/>
    <w:multiLevelType w:val="hybridMultilevel"/>
    <w:tmpl w:val="D2FE0632"/>
    <w:lvl w:ilvl="0" w:tplc="FBDA7DC2">
      <w:start w:val="1"/>
      <w:numFmt w:val="lowerLetter"/>
      <w:lvlText w:val="%1)"/>
      <w:lvlJc w:val="left"/>
      <w:pPr>
        <w:ind w:left="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C52A264">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CD84362">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E7645C4">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1EC424">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BC6742">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220A86">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8AB8A0">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F85EF8">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2130DCC"/>
    <w:multiLevelType w:val="hybridMultilevel"/>
    <w:tmpl w:val="ADA4FB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B66E19"/>
    <w:multiLevelType w:val="hybridMultilevel"/>
    <w:tmpl w:val="E33E4D38"/>
    <w:lvl w:ilvl="0" w:tplc="F1C82DC6">
      <w:start w:val="1"/>
      <w:numFmt w:val="bullet"/>
      <w:lvlText w:val="-"/>
      <w:lvlJc w:val="left"/>
      <w:pPr>
        <w:ind w:left="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98DCCC">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70FE2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6EA39F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183330">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3CA1F40">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5E11B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96C584">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A80FF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B007377"/>
    <w:multiLevelType w:val="multilevel"/>
    <w:tmpl w:val="F41A0A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6884947">
    <w:abstractNumId w:val="25"/>
  </w:num>
  <w:num w:numId="2" w16cid:durableId="953903478">
    <w:abstractNumId w:val="9"/>
  </w:num>
  <w:num w:numId="3" w16cid:durableId="294914437">
    <w:abstractNumId w:val="7"/>
  </w:num>
  <w:num w:numId="4" w16cid:durableId="1375883172">
    <w:abstractNumId w:val="6"/>
  </w:num>
  <w:num w:numId="5" w16cid:durableId="466436026">
    <w:abstractNumId w:val="5"/>
  </w:num>
  <w:num w:numId="6" w16cid:durableId="325281655">
    <w:abstractNumId w:val="4"/>
  </w:num>
  <w:num w:numId="7" w16cid:durableId="473569754">
    <w:abstractNumId w:val="8"/>
  </w:num>
  <w:num w:numId="8" w16cid:durableId="2059892711">
    <w:abstractNumId w:val="3"/>
  </w:num>
  <w:num w:numId="9" w16cid:durableId="897937374">
    <w:abstractNumId w:val="2"/>
  </w:num>
  <w:num w:numId="10" w16cid:durableId="1814908378">
    <w:abstractNumId w:val="1"/>
  </w:num>
  <w:num w:numId="11" w16cid:durableId="1964192408">
    <w:abstractNumId w:val="0"/>
  </w:num>
  <w:num w:numId="12" w16cid:durableId="607470835">
    <w:abstractNumId w:val="24"/>
  </w:num>
  <w:num w:numId="13" w16cid:durableId="1325281125">
    <w:abstractNumId w:val="31"/>
  </w:num>
  <w:num w:numId="14" w16cid:durableId="1624922869">
    <w:abstractNumId w:val="17"/>
  </w:num>
  <w:num w:numId="15" w16cid:durableId="863859076">
    <w:abstractNumId w:val="16"/>
  </w:num>
  <w:num w:numId="16" w16cid:durableId="825243645">
    <w:abstractNumId w:val="26"/>
  </w:num>
  <w:num w:numId="17" w16cid:durableId="679552667">
    <w:abstractNumId w:val="32"/>
  </w:num>
  <w:num w:numId="18" w16cid:durableId="1257204489">
    <w:abstractNumId w:val="19"/>
  </w:num>
  <w:num w:numId="19" w16cid:durableId="291178629">
    <w:abstractNumId w:val="20"/>
  </w:num>
  <w:num w:numId="20" w16cid:durableId="323096331">
    <w:abstractNumId w:val="12"/>
  </w:num>
  <w:num w:numId="21" w16cid:durableId="1296063570">
    <w:abstractNumId w:val="13"/>
  </w:num>
  <w:num w:numId="22" w16cid:durableId="277417701">
    <w:abstractNumId w:val="30"/>
  </w:num>
  <w:num w:numId="23" w16cid:durableId="291906167">
    <w:abstractNumId w:val="23"/>
  </w:num>
  <w:num w:numId="24" w16cid:durableId="459107281">
    <w:abstractNumId w:val="28"/>
  </w:num>
  <w:num w:numId="25" w16cid:durableId="856846453">
    <w:abstractNumId w:val="14"/>
  </w:num>
  <w:num w:numId="26" w16cid:durableId="617415438">
    <w:abstractNumId w:val="21"/>
  </w:num>
  <w:num w:numId="27" w16cid:durableId="858933933">
    <w:abstractNumId w:val="15"/>
  </w:num>
  <w:num w:numId="28" w16cid:durableId="991638885">
    <w:abstractNumId w:val="27"/>
  </w:num>
  <w:num w:numId="29" w16cid:durableId="1296989267">
    <w:abstractNumId w:val="11"/>
  </w:num>
  <w:num w:numId="30" w16cid:durableId="1816138126">
    <w:abstractNumId w:val="22"/>
  </w:num>
  <w:num w:numId="31" w16cid:durableId="1214807925">
    <w:abstractNumId w:val="18"/>
  </w:num>
  <w:num w:numId="32" w16cid:durableId="1019962706">
    <w:abstractNumId w:val="10"/>
  </w:num>
  <w:num w:numId="33" w16cid:durableId="1388916999">
    <w:abstractNumId w:val="33"/>
  </w:num>
  <w:num w:numId="34" w16cid:durableId="65695448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ourceLng" w:val="eng"/>
    <w:docVar w:name="TargetLng" w:val="spa"/>
    <w:docVar w:name="TermBases" w:val="CITES references"/>
    <w:docVar w:name="TermBaseURL" w:val="empty"/>
    <w:docVar w:name="TextBases" w:val="TextBase TMs\ Stand Cttee|TextBase TMs\AC-PC|TextBase TMs\PC|TextBase TMs\References|TextBase TMs\AC|TextBase TMs\COP|TextBase TMs\Resolutions|TextBase TMs\Sig trade|TextBase TMs\Notifications"/>
    <w:docVar w:name="TextBaseURL" w:val="empty"/>
    <w:docVar w:name="UILng" w:val="en"/>
  </w:docVars>
  <w:rsids>
    <w:rsidRoot w:val="006A531B"/>
    <w:rsid w:val="00000698"/>
    <w:rsid w:val="000016F9"/>
    <w:rsid w:val="00002421"/>
    <w:rsid w:val="00003483"/>
    <w:rsid w:val="00003F9A"/>
    <w:rsid w:val="000051ED"/>
    <w:rsid w:val="00005950"/>
    <w:rsid w:val="0000600C"/>
    <w:rsid w:val="00007121"/>
    <w:rsid w:val="00007FEB"/>
    <w:rsid w:val="00010F2C"/>
    <w:rsid w:val="00011797"/>
    <w:rsid w:val="000118C9"/>
    <w:rsid w:val="00011D2E"/>
    <w:rsid w:val="00012806"/>
    <w:rsid w:val="00014810"/>
    <w:rsid w:val="00014898"/>
    <w:rsid w:val="00020E5B"/>
    <w:rsid w:val="00022206"/>
    <w:rsid w:val="00022807"/>
    <w:rsid w:val="000229F7"/>
    <w:rsid w:val="00025C3A"/>
    <w:rsid w:val="00026413"/>
    <w:rsid w:val="000269A4"/>
    <w:rsid w:val="00027211"/>
    <w:rsid w:val="0003101D"/>
    <w:rsid w:val="0003119C"/>
    <w:rsid w:val="0003135E"/>
    <w:rsid w:val="00032641"/>
    <w:rsid w:val="000334A7"/>
    <w:rsid w:val="00033CA8"/>
    <w:rsid w:val="00035DA2"/>
    <w:rsid w:val="00036987"/>
    <w:rsid w:val="000429AE"/>
    <w:rsid w:val="00044A0A"/>
    <w:rsid w:val="000456CB"/>
    <w:rsid w:val="0004573A"/>
    <w:rsid w:val="00045DE1"/>
    <w:rsid w:val="00045FFE"/>
    <w:rsid w:val="0004664F"/>
    <w:rsid w:val="000468F8"/>
    <w:rsid w:val="00046FCF"/>
    <w:rsid w:val="00051242"/>
    <w:rsid w:val="000521D9"/>
    <w:rsid w:val="000567E1"/>
    <w:rsid w:val="00056B99"/>
    <w:rsid w:val="00060068"/>
    <w:rsid w:val="000603B8"/>
    <w:rsid w:val="0006195A"/>
    <w:rsid w:val="00061E66"/>
    <w:rsid w:val="000625D0"/>
    <w:rsid w:val="00064860"/>
    <w:rsid w:val="00064EAD"/>
    <w:rsid w:val="00071BA5"/>
    <w:rsid w:val="00073EB0"/>
    <w:rsid w:val="00074B53"/>
    <w:rsid w:val="00074E66"/>
    <w:rsid w:val="000765D5"/>
    <w:rsid w:val="00076C36"/>
    <w:rsid w:val="000779FC"/>
    <w:rsid w:val="00077BB1"/>
    <w:rsid w:val="00082144"/>
    <w:rsid w:val="00082CE3"/>
    <w:rsid w:val="00082E00"/>
    <w:rsid w:val="00083394"/>
    <w:rsid w:val="000863A4"/>
    <w:rsid w:val="000870DA"/>
    <w:rsid w:val="00091AAC"/>
    <w:rsid w:val="00091CDE"/>
    <w:rsid w:val="00091E66"/>
    <w:rsid w:val="00093F16"/>
    <w:rsid w:val="000954E6"/>
    <w:rsid w:val="00096713"/>
    <w:rsid w:val="000968C7"/>
    <w:rsid w:val="00097107"/>
    <w:rsid w:val="000A03EF"/>
    <w:rsid w:val="000A11A9"/>
    <w:rsid w:val="000A1226"/>
    <w:rsid w:val="000A1756"/>
    <w:rsid w:val="000A4D24"/>
    <w:rsid w:val="000A4E49"/>
    <w:rsid w:val="000A5E32"/>
    <w:rsid w:val="000A6FAB"/>
    <w:rsid w:val="000A7332"/>
    <w:rsid w:val="000A7C02"/>
    <w:rsid w:val="000B14FC"/>
    <w:rsid w:val="000B41C8"/>
    <w:rsid w:val="000B632B"/>
    <w:rsid w:val="000B6D2E"/>
    <w:rsid w:val="000B7A94"/>
    <w:rsid w:val="000C17C1"/>
    <w:rsid w:val="000C335F"/>
    <w:rsid w:val="000D005D"/>
    <w:rsid w:val="000D1428"/>
    <w:rsid w:val="000D231C"/>
    <w:rsid w:val="000D43B0"/>
    <w:rsid w:val="000D4702"/>
    <w:rsid w:val="000D545D"/>
    <w:rsid w:val="000D6C45"/>
    <w:rsid w:val="000E129D"/>
    <w:rsid w:val="000E158B"/>
    <w:rsid w:val="000E1B0E"/>
    <w:rsid w:val="000E4421"/>
    <w:rsid w:val="000E54FD"/>
    <w:rsid w:val="000E6F1C"/>
    <w:rsid w:val="000E6F66"/>
    <w:rsid w:val="000F0335"/>
    <w:rsid w:val="000F3749"/>
    <w:rsid w:val="000F5A9D"/>
    <w:rsid w:val="000F5DA2"/>
    <w:rsid w:val="000F7C94"/>
    <w:rsid w:val="00100E74"/>
    <w:rsid w:val="00101EB7"/>
    <w:rsid w:val="001075DF"/>
    <w:rsid w:val="00107AB2"/>
    <w:rsid w:val="001101C7"/>
    <w:rsid w:val="00112B89"/>
    <w:rsid w:val="00112DA7"/>
    <w:rsid w:val="0011353E"/>
    <w:rsid w:val="0011528A"/>
    <w:rsid w:val="0011540B"/>
    <w:rsid w:val="0011569B"/>
    <w:rsid w:val="00116C11"/>
    <w:rsid w:val="001173FC"/>
    <w:rsid w:val="0012178C"/>
    <w:rsid w:val="00122B72"/>
    <w:rsid w:val="001231DE"/>
    <w:rsid w:val="001249CC"/>
    <w:rsid w:val="001251A6"/>
    <w:rsid w:val="00125B92"/>
    <w:rsid w:val="001270D3"/>
    <w:rsid w:val="0013087D"/>
    <w:rsid w:val="00130BEE"/>
    <w:rsid w:val="00130D89"/>
    <w:rsid w:val="00130DBA"/>
    <w:rsid w:val="00132CA2"/>
    <w:rsid w:val="00132D31"/>
    <w:rsid w:val="00132DF3"/>
    <w:rsid w:val="00133129"/>
    <w:rsid w:val="0013353B"/>
    <w:rsid w:val="00133D5B"/>
    <w:rsid w:val="00134155"/>
    <w:rsid w:val="00134DBE"/>
    <w:rsid w:val="00136B40"/>
    <w:rsid w:val="0014104C"/>
    <w:rsid w:val="001424B1"/>
    <w:rsid w:val="0014274F"/>
    <w:rsid w:val="00143561"/>
    <w:rsid w:val="001465A5"/>
    <w:rsid w:val="0014737B"/>
    <w:rsid w:val="00150451"/>
    <w:rsid w:val="001505E7"/>
    <w:rsid w:val="00150659"/>
    <w:rsid w:val="00156A18"/>
    <w:rsid w:val="001575BE"/>
    <w:rsid w:val="00157709"/>
    <w:rsid w:val="00157A3A"/>
    <w:rsid w:val="0016068F"/>
    <w:rsid w:val="00160764"/>
    <w:rsid w:val="001609CF"/>
    <w:rsid w:val="00160EDC"/>
    <w:rsid w:val="001610CA"/>
    <w:rsid w:val="001645C7"/>
    <w:rsid w:val="00164977"/>
    <w:rsid w:val="001659A5"/>
    <w:rsid w:val="001664A3"/>
    <w:rsid w:val="0016720F"/>
    <w:rsid w:val="001676BF"/>
    <w:rsid w:val="00167DDF"/>
    <w:rsid w:val="00170CCC"/>
    <w:rsid w:val="00171423"/>
    <w:rsid w:val="00171469"/>
    <w:rsid w:val="00172F8B"/>
    <w:rsid w:val="00177F64"/>
    <w:rsid w:val="0018086D"/>
    <w:rsid w:val="00180C35"/>
    <w:rsid w:val="00180CA5"/>
    <w:rsid w:val="00183863"/>
    <w:rsid w:val="00184392"/>
    <w:rsid w:val="0018680A"/>
    <w:rsid w:val="00186A15"/>
    <w:rsid w:val="00190C0E"/>
    <w:rsid w:val="00191864"/>
    <w:rsid w:val="001930B4"/>
    <w:rsid w:val="001944CD"/>
    <w:rsid w:val="0019474B"/>
    <w:rsid w:val="001956EA"/>
    <w:rsid w:val="00195A3F"/>
    <w:rsid w:val="00196C30"/>
    <w:rsid w:val="0019700E"/>
    <w:rsid w:val="001A03E3"/>
    <w:rsid w:val="001A3CD5"/>
    <w:rsid w:val="001A4346"/>
    <w:rsid w:val="001A723F"/>
    <w:rsid w:val="001B1E60"/>
    <w:rsid w:val="001B2945"/>
    <w:rsid w:val="001B3FB9"/>
    <w:rsid w:val="001B436B"/>
    <w:rsid w:val="001B5BD4"/>
    <w:rsid w:val="001B6901"/>
    <w:rsid w:val="001B6B15"/>
    <w:rsid w:val="001B7460"/>
    <w:rsid w:val="001B75C2"/>
    <w:rsid w:val="001B7FB3"/>
    <w:rsid w:val="001C0732"/>
    <w:rsid w:val="001C254E"/>
    <w:rsid w:val="001C3A14"/>
    <w:rsid w:val="001C4946"/>
    <w:rsid w:val="001D091D"/>
    <w:rsid w:val="001D0BE8"/>
    <w:rsid w:val="001D163F"/>
    <w:rsid w:val="001D16DA"/>
    <w:rsid w:val="001D276E"/>
    <w:rsid w:val="001D2ED3"/>
    <w:rsid w:val="001D3469"/>
    <w:rsid w:val="001D3901"/>
    <w:rsid w:val="001D5F8D"/>
    <w:rsid w:val="001D6434"/>
    <w:rsid w:val="001D6660"/>
    <w:rsid w:val="001D6995"/>
    <w:rsid w:val="001D6E2A"/>
    <w:rsid w:val="001D7ECF"/>
    <w:rsid w:val="001E0403"/>
    <w:rsid w:val="001E09AF"/>
    <w:rsid w:val="001E1E5F"/>
    <w:rsid w:val="001E21D5"/>
    <w:rsid w:val="001E4B04"/>
    <w:rsid w:val="001E611D"/>
    <w:rsid w:val="001E6577"/>
    <w:rsid w:val="001E7746"/>
    <w:rsid w:val="001F0D39"/>
    <w:rsid w:val="001F14EB"/>
    <w:rsid w:val="001F2235"/>
    <w:rsid w:val="001F2598"/>
    <w:rsid w:val="001F2A63"/>
    <w:rsid w:val="001F2D81"/>
    <w:rsid w:val="001F3313"/>
    <w:rsid w:val="001F445C"/>
    <w:rsid w:val="001F6D06"/>
    <w:rsid w:val="00202983"/>
    <w:rsid w:val="002029EA"/>
    <w:rsid w:val="00203160"/>
    <w:rsid w:val="002035EC"/>
    <w:rsid w:val="00203630"/>
    <w:rsid w:val="00203D51"/>
    <w:rsid w:val="00205A1B"/>
    <w:rsid w:val="00205B9A"/>
    <w:rsid w:val="0020765C"/>
    <w:rsid w:val="002109CD"/>
    <w:rsid w:val="00211BD4"/>
    <w:rsid w:val="0021345B"/>
    <w:rsid w:val="00217258"/>
    <w:rsid w:val="002179B6"/>
    <w:rsid w:val="00217D4A"/>
    <w:rsid w:val="002260EE"/>
    <w:rsid w:val="00226AB0"/>
    <w:rsid w:val="00230037"/>
    <w:rsid w:val="00232E7B"/>
    <w:rsid w:val="00234FC2"/>
    <w:rsid w:val="00234FFB"/>
    <w:rsid w:val="00235CC9"/>
    <w:rsid w:val="00235D92"/>
    <w:rsid w:val="00241908"/>
    <w:rsid w:val="00244C56"/>
    <w:rsid w:val="00247629"/>
    <w:rsid w:val="00250CAD"/>
    <w:rsid w:val="00251CEB"/>
    <w:rsid w:val="00253EFD"/>
    <w:rsid w:val="002554FA"/>
    <w:rsid w:val="002556C9"/>
    <w:rsid w:val="00257566"/>
    <w:rsid w:val="00260BE3"/>
    <w:rsid w:val="00261D35"/>
    <w:rsid w:val="00261FBA"/>
    <w:rsid w:val="00265619"/>
    <w:rsid w:val="00265BDC"/>
    <w:rsid w:val="00266947"/>
    <w:rsid w:val="0027041B"/>
    <w:rsid w:val="002731F3"/>
    <w:rsid w:val="002748B8"/>
    <w:rsid w:val="00274CE4"/>
    <w:rsid w:val="0027792A"/>
    <w:rsid w:val="0028094D"/>
    <w:rsid w:val="002809DF"/>
    <w:rsid w:val="00282585"/>
    <w:rsid w:val="002837D0"/>
    <w:rsid w:val="00283B83"/>
    <w:rsid w:val="00284194"/>
    <w:rsid w:val="00284941"/>
    <w:rsid w:val="00284E32"/>
    <w:rsid w:val="002902F9"/>
    <w:rsid w:val="00292E88"/>
    <w:rsid w:val="00293582"/>
    <w:rsid w:val="002935A3"/>
    <w:rsid w:val="0029433F"/>
    <w:rsid w:val="00294894"/>
    <w:rsid w:val="002A464C"/>
    <w:rsid w:val="002A67AB"/>
    <w:rsid w:val="002B1C14"/>
    <w:rsid w:val="002B277F"/>
    <w:rsid w:val="002B4D50"/>
    <w:rsid w:val="002B4D5A"/>
    <w:rsid w:val="002B622D"/>
    <w:rsid w:val="002B7917"/>
    <w:rsid w:val="002B7F20"/>
    <w:rsid w:val="002C06AA"/>
    <w:rsid w:val="002C0754"/>
    <w:rsid w:val="002C0DD7"/>
    <w:rsid w:val="002C1C0C"/>
    <w:rsid w:val="002C4827"/>
    <w:rsid w:val="002C4F75"/>
    <w:rsid w:val="002D0B07"/>
    <w:rsid w:val="002D2645"/>
    <w:rsid w:val="002D2AF7"/>
    <w:rsid w:val="002D2DEA"/>
    <w:rsid w:val="002D4871"/>
    <w:rsid w:val="002D5166"/>
    <w:rsid w:val="002D629B"/>
    <w:rsid w:val="002D63B8"/>
    <w:rsid w:val="002D6840"/>
    <w:rsid w:val="002D6A01"/>
    <w:rsid w:val="002D6A8C"/>
    <w:rsid w:val="002D6D71"/>
    <w:rsid w:val="002D76EA"/>
    <w:rsid w:val="002E040B"/>
    <w:rsid w:val="002E1AEF"/>
    <w:rsid w:val="002E25E1"/>
    <w:rsid w:val="002E2CAB"/>
    <w:rsid w:val="002E3331"/>
    <w:rsid w:val="002E36E6"/>
    <w:rsid w:val="002E4616"/>
    <w:rsid w:val="002E7E6D"/>
    <w:rsid w:val="002F1899"/>
    <w:rsid w:val="002F1BCF"/>
    <w:rsid w:val="002F1C22"/>
    <w:rsid w:val="002F2C81"/>
    <w:rsid w:val="002F3A14"/>
    <w:rsid w:val="002F3F80"/>
    <w:rsid w:val="002F44F8"/>
    <w:rsid w:val="002F4E83"/>
    <w:rsid w:val="00300FB3"/>
    <w:rsid w:val="0030122F"/>
    <w:rsid w:val="0030207D"/>
    <w:rsid w:val="0030295A"/>
    <w:rsid w:val="00303B51"/>
    <w:rsid w:val="003046D0"/>
    <w:rsid w:val="0030508E"/>
    <w:rsid w:val="00310CBB"/>
    <w:rsid w:val="00310E72"/>
    <w:rsid w:val="00311ED5"/>
    <w:rsid w:val="00313819"/>
    <w:rsid w:val="0031403A"/>
    <w:rsid w:val="00314362"/>
    <w:rsid w:val="003145E3"/>
    <w:rsid w:val="003145F7"/>
    <w:rsid w:val="00314909"/>
    <w:rsid w:val="003150C8"/>
    <w:rsid w:val="003157F6"/>
    <w:rsid w:val="00315868"/>
    <w:rsid w:val="00316FA1"/>
    <w:rsid w:val="003170B9"/>
    <w:rsid w:val="0032444A"/>
    <w:rsid w:val="00324D0E"/>
    <w:rsid w:val="00325678"/>
    <w:rsid w:val="003264CF"/>
    <w:rsid w:val="0032780E"/>
    <w:rsid w:val="003303F3"/>
    <w:rsid w:val="00331E70"/>
    <w:rsid w:val="00333245"/>
    <w:rsid w:val="003333ED"/>
    <w:rsid w:val="00334193"/>
    <w:rsid w:val="003341B1"/>
    <w:rsid w:val="003342CB"/>
    <w:rsid w:val="003379A9"/>
    <w:rsid w:val="00340D19"/>
    <w:rsid w:val="00342D68"/>
    <w:rsid w:val="00344057"/>
    <w:rsid w:val="003452E6"/>
    <w:rsid w:val="00345630"/>
    <w:rsid w:val="00345D25"/>
    <w:rsid w:val="00347662"/>
    <w:rsid w:val="003508DF"/>
    <w:rsid w:val="00350D16"/>
    <w:rsid w:val="003528FB"/>
    <w:rsid w:val="00353C24"/>
    <w:rsid w:val="003552F6"/>
    <w:rsid w:val="00355C3F"/>
    <w:rsid w:val="00355FDC"/>
    <w:rsid w:val="0035748F"/>
    <w:rsid w:val="00357ECB"/>
    <w:rsid w:val="00360264"/>
    <w:rsid w:val="00362DA5"/>
    <w:rsid w:val="00364994"/>
    <w:rsid w:val="0036584D"/>
    <w:rsid w:val="003666C5"/>
    <w:rsid w:val="00367612"/>
    <w:rsid w:val="003711C7"/>
    <w:rsid w:val="0037199C"/>
    <w:rsid w:val="00371C7D"/>
    <w:rsid w:val="00373457"/>
    <w:rsid w:val="00373618"/>
    <w:rsid w:val="00376155"/>
    <w:rsid w:val="00380E68"/>
    <w:rsid w:val="00382C7B"/>
    <w:rsid w:val="0038371F"/>
    <w:rsid w:val="003868B2"/>
    <w:rsid w:val="00386C05"/>
    <w:rsid w:val="003911F7"/>
    <w:rsid w:val="00391C92"/>
    <w:rsid w:val="00392539"/>
    <w:rsid w:val="003933A3"/>
    <w:rsid w:val="0039762C"/>
    <w:rsid w:val="00397BD4"/>
    <w:rsid w:val="003A1B33"/>
    <w:rsid w:val="003A1B9A"/>
    <w:rsid w:val="003A2462"/>
    <w:rsid w:val="003A2D8F"/>
    <w:rsid w:val="003A2EFF"/>
    <w:rsid w:val="003A5319"/>
    <w:rsid w:val="003A5978"/>
    <w:rsid w:val="003A5A37"/>
    <w:rsid w:val="003A6DDA"/>
    <w:rsid w:val="003A724B"/>
    <w:rsid w:val="003A7BB0"/>
    <w:rsid w:val="003B0105"/>
    <w:rsid w:val="003B07E3"/>
    <w:rsid w:val="003B1E5B"/>
    <w:rsid w:val="003B26A4"/>
    <w:rsid w:val="003B2C65"/>
    <w:rsid w:val="003B3373"/>
    <w:rsid w:val="003B5748"/>
    <w:rsid w:val="003B58C9"/>
    <w:rsid w:val="003B5EC4"/>
    <w:rsid w:val="003B662C"/>
    <w:rsid w:val="003C0123"/>
    <w:rsid w:val="003C3669"/>
    <w:rsid w:val="003C3A44"/>
    <w:rsid w:val="003C5C9E"/>
    <w:rsid w:val="003C744B"/>
    <w:rsid w:val="003C79A2"/>
    <w:rsid w:val="003D3264"/>
    <w:rsid w:val="003D4E41"/>
    <w:rsid w:val="003D6F3F"/>
    <w:rsid w:val="003E2870"/>
    <w:rsid w:val="003E2AA1"/>
    <w:rsid w:val="003E2D5C"/>
    <w:rsid w:val="003E4479"/>
    <w:rsid w:val="003E5468"/>
    <w:rsid w:val="003E638D"/>
    <w:rsid w:val="003E6CE3"/>
    <w:rsid w:val="003F0D51"/>
    <w:rsid w:val="003F27B2"/>
    <w:rsid w:val="003F29B3"/>
    <w:rsid w:val="003F3A7A"/>
    <w:rsid w:val="003F6938"/>
    <w:rsid w:val="0040014B"/>
    <w:rsid w:val="004019B6"/>
    <w:rsid w:val="00403955"/>
    <w:rsid w:val="00403B99"/>
    <w:rsid w:val="004041AF"/>
    <w:rsid w:val="00404C0F"/>
    <w:rsid w:val="00404FA4"/>
    <w:rsid w:val="004052AD"/>
    <w:rsid w:val="004064AC"/>
    <w:rsid w:val="00406D65"/>
    <w:rsid w:val="0040791E"/>
    <w:rsid w:val="00410237"/>
    <w:rsid w:val="0041166C"/>
    <w:rsid w:val="00412035"/>
    <w:rsid w:val="00416221"/>
    <w:rsid w:val="00420374"/>
    <w:rsid w:val="00420590"/>
    <w:rsid w:val="00420B82"/>
    <w:rsid w:val="00424359"/>
    <w:rsid w:val="004260D8"/>
    <w:rsid w:val="004265C4"/>
    <w:rsid w:val="00426EF7"/>
    <w:rsid w:val="00426F7B"/>
    <w:rsid w:val="00430958"/>
    <w:rsid w:val="00430FA0"/>
    <w:rsid w:val="0043259F"/>
    <w:rsid w:val="0043293E"/>
    <w:rsid w:val="00432BE0"/>
    <w:rsid w:val="00433765"/>
    <w:rsid w:val="004337DB"/>
    <w:rsid w:val="0043537E"/>
    <w:rsid w:val="004364BB"/>
    <w:rsid w:val="0044011A"/>
    <w:rsid w:val="004420A0"/>
    <w:rsid w:val="00442343"/>
    <w:rsid w:val="004427ED"/>
    <w:rsid w:val="00444A9F"/>
    <w:rsid w:val="004501CD"/>
    <w:rsid w:val="00452923"/>
    <w:rsid w:val="00453AB3"/>
    <w:rsid w:val="00453B33"/>
    <w:rsid w:val="00453B78"/>
    <w:rsid w:val="00454174"/>
    <w:rsid w:val="004541A8"/>
    <w:rsid w:val="00454DBC"/>
    <w:rsid w:val="004558B6"/>
    <w:rsid w:val="00455B1D"/>
    <w:rsid w:val="00457C99"/>
    <w:rsid w:val="00462296"/>
    <w:rsid w:val="00464825"/>
    <w:rsid w:val="00465349"/>
    <w:rsid w:val="004665CA"/>
    <w:rsid w:val="00467F8A"/>
    <w:rsid w:val="0047056E"/>
    <w:rsid w:val="004716A8"/>
    <w:rsid w:val="0047679D"/>
    <w:rsid w:val="0047695F"/>
    <w:rsid w:val="0048091C"/>
    <w:rsid w:val="00483D53"/>
    <w:rsid w:val="00483D62"/>
    <w:rsid w:val="004848DE"/>
    <w:rsid w:val="00486524"/>
    <w:rsid w:val="00487548"/>
    <w:rsid w:val="00487732"/>
    <w:rsid w:val="00492571"/>
    <w:rsid w:val="00493CB9"/>
    <w:rsid w:val="00495761"/>
    <w:rsid w:val="00496A97"/>
    <w:rsid w:val="00497306"/>
    <w:rsid w:val="00497F03"/>
    <w:rsid w:val="004A131E"/>
    <w:rsid w:val="004A2335"/>
    <w:rsid w:val="004A2AA5"/>
    <w:rsid w:val="004A2CAC"/>
    <w:rsid w:val="004A5354"/>
    <w:rsid w:val="004A7B55"/>
    <w:rsid w:val="004B1B73"/>
    <w:rsid w:val="004B2119"/>
    <w:rsid w:val="004B2852"/>
    <w:rsid w:val="004B3187"/>
    <w:rsid w:val="004B3D29"/>
    <w:rsid w:val="004B55FA"/>
    <w:rsid w:val="004B5A3C"/>
    <w:rsid w:val="004C0F7C"/>
    <w:rsid w:val="004C0FFF"/>
    <w:rsid w:val="004C1338"/>
    <w:rsid w:val="004C1EC1"/>
    <w:rsid w:val="004C2424"/>
    <w:rsid w:val="004C2E11"/>
    <w:rsid w:val="004C3256"/>
    <w:rsid w:val="004C3429"/>
    <w:rsid w:val="004C3738"/>
    <w:rsid w:val="004C43F8"/>
    <w:rsid w:val="004C6166"/>
    <w:rsid w:val="004C7CA4"/>
    <w:rsid w:val="004C7FAC"/>
    <w:rsid w:val="004D2609"/>
    <w:rsid w:val="004D26CF"/>
    <w:rsid w:val="004D2ABC"/>
    <w:rsid w:val="004D2C56"/>
    <w:rsid w:val="004D2FB3"/>
    <w:rsid w:val="004E0255"/>
    <w:rsid w:val="004E04B3"/>
    <w:rsid w:val="004E052B"/>
    <w:rsid w:val="004E15F9"/>
    <w:rsid w:val="004E307E"/>
    <w:rsid w:val="004E3C4B"/>
    <w:rsid w:val="004E51EE"/>
    <w:rsid w:val="004E5E39"/>
    <w:rsid w:val="004E62B9"/>
    <w:rsid w:val="004E6917"/>
    <w:rsid w:val="004F079C"/>
    <w:rsid w:val="004F0E68"/>
    <w:rsid w:val="004F1B42"/>
    <w:rsid w:val="004F3A74"/>
    <w:rsid w:val="004F5C0A"/>
    <w:rsid w:val="005004DE"/>
    <w:rsid w:val="00500D6B"/>
    <w:rsid w:val="0050182E"/>
    <w:rsid w:val="00501CC8"/>
    <w:rsid w:val="00503912"/>
    <w:rsid w:val="005040A8"/>
    <w:rsid w:val="00505F81"/>
    <w:rsid w:val="005071C5"/>
    <w:rsid w:val="00507546"/>
    <w:rsid w:val="005075B6"/>
    <w:rsid w:val="005138CF"/>
    <w:rsid w:val="00514477"/>
    <w:rsid w:val="005146B9"/>
    <w:rsid w:val="005147CA"/>
    <w:rsid w:val="00514ADC"/>
    <w:rsid w:val="005153FD"/>
    <w:rsid w:val="00515994"/>
    <w:rsid w:val="005160AE"/>
    <w:rsid w:val="00520E58"/>
    <w:rsid w:val="005218B2"/>
    <w:rsid w:val="00521B26"/>
    <w:rsid w:val="00522328"/>
    <w:rsid w:val="00523B2E"/>
    <w:rsid w:val="00525828"/>
    <w:rsid w:val="00526863"/>
    <w:rsid w:val="00526E67"/>
    <w:rsid w:val="00527296"/>
    <w:rsid w:val="00530C14"/>
    <w:rsid w:val="00531140"/>
    <w:rsid w:val="00532259"/>
    <w:rsid w:val="0053229D"/>
    <w:rsid w:val="00532ACA"/>
    <w:rsid w:val="005333E7"/>
    <w:rsid w:val="005348B5"/>
    <w:rsid w:val="0053552C"/>
    <w:rsid w:val="00535FDD"/>
    <w:rsid w:val="00536567"/>
    <w:rsid w:val="0053703F"/>
    <w:rsid w:val="005405E2"/>
    <w:rsid w:val="00540DF4"/>
    <w:rsid w:val="00541B99"/>
    <w:rsid w:val="00541DAE"/>
    <w:rsid w:val="00542BA4"/>
    <w:rsid w:val="00542E70"/>
    <w:rsid w:val="00543819"/>
    <w:rsid w:val="00544D01"/>
    <w:rsid w:val="00544F1F"/>
    <w:rsid w:val="005450EE"/>
    <w:rsid w:val="0054753D"/>
    <w:rsid w:val="00551865"/>
    <w:rsid w:val="00552513"/>
    <w:rsid w:val="0055350A"/>
    <w:rsid w:val="00553DA2"/>
    <w:rsid w:val="00554BA2"/>
    <w:rsid w:val="00556DE4"/>
    <w:rsid w:val="0055756E"/>
    <w:rsid w:val="00557BD9"/>
    <w:rsid w:val="00560BAC"/>
    <w:rsid w:val="0056248D"/>
    <w:rsid w:val="005628FF"/>
    <w:rsid w:val="00563381"/>
    <w:rsid w:val="00563728"/>
    <w:rsid w:val="00563842"/>
    <w:rsid w:val="00563EDB"/>
    <w:rsid w:val="00564B95"/>
    <w:rsid w:val="0056507B"/>
    <w:rsid w:val="00565613"/>
    <w:rsid w:val="00566EA5"/>
    <w:rsid w:val="00570E5D"/>
    <w:rsid w:val="00571BD6"/>
    <w:rsid w:val="00571F00"/>
    <w:rsid w:val="00573B14"/>
    <w:rsid w:val="00576275"/>
    <w:rsid w:val="005762D3"/>
    <w:rsid w:val="00576937"/>
    <w:rsid w:val="005769C7"/>
    <w:rsid w:val="005808F2"/>
    <w:rsid w:val="00580FF8"/>
    <w:rsid w:val="00583726"/>
    <w:rsid w:val="00584967"/>
    <w:rsid w:val="00585CDC"/>
    <w:rsid w:val="00585DC1"/>
    <w:rsid w:val="00590F3A"/>
    <w:rsid w:val="00591E8B"/>
    <w:rsid w:val="005923EB"/>
    <w:rsid w:val="0059247D"/>
    <w:rsid w:val="005924E2"/>
    <w:rsid w:val="00592932"/>
    <w:rsid w:val="005968D9"/>
    <w:rsid w:val="00596CC6"/>
    <w:rsid w:val="005A185A"/>
    <w:rsid w:val="005A2B5B"/>
    <w:rsid w:val="005A3228"/>
    <w:rsid w:val="005A4087"/>
    <w:rsid w:val="005A67FA"/>
    <w:rsid w:val="005A7F35"/>
    <w:rsid w:val="005B0944"/>
    <w:rsid w:val="005B4BC9"/>
    <w:rsid w:val="005B5111"/>
    <w:rsid w:val="005B572B"/>
    <w:rsid w:val="005B69EE"/>
    <w:rsid w:val="005B737B"/>
    <w:rsid w:val="005B776B"/>
    <w:rsid w:val="005C16F3"/>
    <w:rsid w:val="005C27F5"/>
    <w:rsid w:val="005C40DC"/>
    <w:rsid w:val="005C55E9"/>
    <w:rsid w:val="005C62C0"/>
    <w:rsid w:val="005D0957"/>
    <w:rsid w:val="005D0B80"/>
    <w:rsid w:val="005D0E0D"/>
    <w:rsid w:val="005D1B58"/>
    <w:rsid w:val="005D28CE"/>
    <w:rsid w:val="005D4776"/>
    <w:rsid w:val="005D48D9"/>
    <w:rsid w:val="005D5A5F"/>
    <w:rsid w:val="005D5E70"/>
    <w:rsid w:val="005D633A"/>
    <w:rsid w:val="005D7AA2"/>
    <w:rsid w:val="005E07E0"/>
    <w:rsid w:val="005E2631"/>
    <w:rsid w:val="005E2F0C"/>
    <w:rsid w:val="005E3269"/>
    <w:rsid w:val="005E3EF2"/>
    <w:rsid w:val="005E7E4C"/>
    <w:rsid w:val="005E7EF0"/>
    <w:rsid w:val="005F0121"/>
    <w:rsid w:val="005F2D86"/>
    <w:rsid w:val="005F3C35"/>
    <w:rsid w:val="005F43D9"/>
    <w:rsid w:val="005F4DCF"/>
    <w:rsid w:val="005F5A15"/>
    <w:rsid w:val="005F6C58"/>
    <w:rsid w:val="005F6C65"/>
    <w:rsid w:val="005F70C9"/>
    <w:rsid w:val="005F7A40"/>
    <w:rsid w:val="00600130"/>
    <w:rsid w:val="00600422"/>
    <w:rsid w:val="006011AC"/>
    <w:rsid w:val="00605ABC"/>
    <w:rsid w:val="006119F0"/>
    <w:rsid w:val="00611B0C"/>
    <w:rsid w:val="006120F4"/>
    <w:rsid w:val="0061430F"/>
    <w:rsid w:val="006158BC"/>
    <w:rsid w:val="00615A15"/>
    <w:rsid w:val="0061747C"/>
    <w:rsid w:val="00617EF8"/>
    <w:rsid w:val="00625597"/>
    <w:rsid w:val="0062592B"/>
    <w:rsid w:val="00626F99"/>
    <w:rsid w:val="00631EB2"/>
    <w:rsid w:val="006330F7"/>
    <w:rsid w:val="00633C79"/>
    <w:rsid w:val="00635493"/>
    <w:rsid w:val="00637A75"/>
    <w:rsid w:val="00637B73"/>
    <w:rsid w:val="00641263"/>
    <w:rsid w:val="006424AD"/>
    <w:rsid w:val="00642737"/>
    <w:rsid w:val="00646833"/>
    <w:rsid w:val="00646CCC"/>
    <w:rsid w:val="0065109C"/>
    <w:rsid w:val="0065111B"/>
    <w:rsid w:val="006511FC"/>
    <w:rsid w:val="00654B4D"/>
    <w:rsid w:val="00656C77"/>
    <w:rsid w:val="00660D98"/>
    <w:rsid w:val="006612EE"/>
    <w:rsid w:val="006621BE"/>
    <w:rsid w:val="006646A6"/>
    <w:rsid w:val="006647C2"/>
    <w:rsid w:val="006658B6"/>
    <w:rsid w:val="006664C2"/>
    <w:rsid w:val="00666BCD"/>
    <w:rsid w:val="00666DCE"/>
    <w:rsid w:val="00670146"/>
    <w:rsid w:val="0067149F"/>
    <w:rsid w:val="006736F8"/>
    <w:rsid w:val="0067652A"/>
    <w:rsid w:val="00677A34"/>
    <w:rsid w:val="00680007"/>
    <w:rsid w:val="00680D8C"/>
    <w:rsid w:val="00681275"/>
    <w:rsid w:val="00681309"/>
    <w:rsid w:val="00682113"/>
    <w:rsid w:val="006823B2"/>
    <w:rsid w:val="00684C79"/>
    <w:rsid w:val="00686259"/>
    <w:rsid w:val="00686445"/>
    <w:rsid w:val="00690FFE"/>
    <w:rsid w:val="00691329"/>
    <w:rsid w:val="00691500"/>
    <w:rsid w:val="00692B5B"/>
    <w:rsid w:val="006944A4"/>
    <w:rsid w:val="00695065"/>
    <w:rsid w:val="006957A8"/>
    <w:rsid w:val="006957BD"/>
    <w:rsid w:val="0069697C"/>
    <w:rsid w:val="00696CE2"/>
    <w:rsid w:val="00697603"/>
    <w:rsid w:val="006A0A77"/>
    <w:rsid w:val="006A0CAE"/>
    <w:rsid w:val="006A19ED"/>
    <w:rsid w:val="006A3776"/>
    <w:rsid w:val="006A531B"/>
    <w:rsid w:val="006A73DE"/>
    <w:rsid w:val="006A7655"/>
    <w:rsid w:val="006A7D82"/>
    <w:rsid w:val="006B15CF"/>
    <w:rsid w:val="006B2454"/>
    <w:rsid w:val="006B3278"/>
    <w:rsid w:val="006B34AA"/>
    <w:rsid w:val="006B58B9"/>
    <w:rsid w:val="006B685A"/>
    <w:rsid w:val="006B7515"/>
    <w:rsid w:val="006B7DE2"/>
    <w:rsid w:val="006C05FD"/>
    <w:rsid w:val="006C0808"/>
    <w:rsid w:val="006C2949"/>
    <w:rsid w:val="006C2E9C"/>
    <w:rsid w:val="006C31C9"/>
    <w:rsid w:val="006C3FED"/>
    <w:rsid w:val="006C40C7"/>
    <w:rsid w:val="006C4784"/>
    <w:rsid w:val="006C6F48"/>
    <w:rsid w:val="006C7688"/>
    <w:rsid w:val="006C7C15"/>
    <w:rsid w:val="006C7EC5"/>
    <w:rsid w:val="006D0523"/>
    <w:rsid w:val="006D099D"/>
    <w:rsid w:val="006D1FB1"/>
    <w:rsid w:val="006D3E0E"/>
    <w:rsid w:val="006D52DB"/>
    <w:rsid w:val="006D5C45"/>
    <w:rsid w:val="006D7AF8"/>
    <w:rsid w:val="006E0438"/>
    <w:rsid w:val="006E0B0F"/>
    <w:rsid w:val="006E2A91"/>
    <w:rsid w:val="006E4C0F"/>
    <w:rsid w:val="006E5984"/>
    <w:rsid w:val="006E6C24"/>
    <w:rsid w:val="006E6F32"/>
    <w:rsid w:val="006E7951"/>
    <w:rsid w:val="006F09F0"/>
    <w:rsid w:val="006F0C28"/>
    <w:rsid w:val="006F1FC2"/>
    <w:rsid w:val="006F2BB4"/>
    <w:rsid w:val="006F2E07"/>
    <w:rsid w:val="006F349D"/>
    <w:rsid w:val="006F3BE4"/>
    <w:rsid w:val="006F4DB1"/>
    <w:rsid w:val="006F52C0"/>
    <w:rsid w:val="006F54E7"/>
    <w:rsid w:val="006F6048"/>
    <w:rsid w:val="006F6DF1"/>
    <w:rsid w:val="00700F3C"/>
    <w:rsid w:val="00701C9D"/>
    <w:rsid w:val="0070320C"/>
    <w:rsid w:val="00704BB6"/>
    <w:rsid w:val="00707A15"/>
    <w:rsid w:val="00710E5D"/>
    <w:rsid w:val="00711134"/>
    <w:rsid w:val="00711E55"/>
    <w:rsid w:val="00714332"/>
    <w:rsid w:val="0071672F"/>
    <w:rsid w:val="00716CE4"/>
    <w:rsid w:val="0071746F"/>
    <w:rsid w:val="00721D05"/>
    <w:rsid w:val="00721D61"/>
    <w:rsid w:val="007244F4"/>
    <w:rsid w:val="00725C43"/>
    <w:rsid w:val="00725D37"/>
    <w:rsid w:val="00726F4C"/>
    <w:rsid w:val="007315E1"/>
    <w:rsid w:val="00732150"/>
    <w:rsid w:val="0073238D"/>
    <w:rsid w:val="00732597"/>
    <w:rsid w:val="00732F44"/>
    <w:rsid w:val="00733342"/>
    <w:rsid w:val="007335D5"/>
    <w:rsid w:val="00733755"/>
    <w:rsid w:val="007337D7"/>
    <w:rsid w:val="00735A52"/>
    <w:rsid w:val="00735C27"/>
    <w:rsid w:val="00736172"/>
    <w:rsid w:val="0073709D"/>
    <w:rsid w:val="007410F7"/>
    <w:rsid w:val="00741C95"/>
    <w:rsid w:val="00741D1E"/>
    <w:rsid w:val="007427AD"/>
    <w:rsid w:val="0074371B"/>
    <w:rsid w:val="00744841"/>
    <w:rsid w:val="00745642"/>
    <w:rsid w:val="00747202"/>
    <w:rsid w:val="00747CB4"/>
    <w:rsid w:val="00750B79"/>
    <w:rsid w:val="00750ECC"/>
    <w:rsid w:val="00753246"/>
    <w:rsid w:val="00753745"/>
    <w:rsid w:val="007542B0"/>
    <w:rsid w:val="0075639E"/>
    <w:rsid w:val="00756A75"/>
    <w:rsid w:val="00756B66"/>
    <w:rsid w:val="00760948"/>
    <w:rsid w:val="00762371"/>
    <w:rsid w:val="007629AE"/>
    <w:rsid w:val="00762A48"/>
    <w:rsid w:val="00762AE9"/>
    <w:rsid w:val="0076357D"/>
    <w:rsid w:val="0076454B"/>
    <w:rsid w:val="00764EFB"/>
    <w:rsid w:val="00765F58"/>
    <w:rsid w:val="00765F84"/>
    <w:rsid w:val="0076678F"/>
    <w:rsid w:val="00767E4F"/>
    <w:rsid w:val="007701D8"/>
    <w:rsid w:val="007715CF"/>
    <w:rsid w:val="00771AF3"/>
    <w:rsid w:val="00776208"/>
    <w:rsid w:val="00776691"/>
    <w:rsid w:val="00776B9F"/>
    <w:rsid w:val="00777F01"/>
    <w:rsid w:val="00781108"/>
    <w:rsid w:val="007811B2"/>
    <w:rsid w:val="00783A2F"/>
    <w:rsid w:val="00784B41"/>
    <w:rsid w:val="00784C9C"/>
    <w:rsid w:val="00786763"/>
    <w:rsid w:val="00786A72"/>
    <w:rsid w:val="00787204"/>
    <w:rsid w:val="007875F2"/>
    <w:rsid w:val="007906C0"/>
    <w:rsid w:val="00791B85"/>
    <w:rsid w:val="00792A10"/>
    <w:rsid w:val="00794B24"/>
    <w:rsid w:val="00795164"/>
    <w:rsid w:val="007952C9"/>
    <w:rsid w:val="00795BA4"/>
    <w:rsid w:val="00795C30"/>
    <w:rsid w:val="00797446"/>
    <w:rsid w:val="00797BE7"/>
    <w:rsid w:val="007A0008"/>
    <w:rsid w:val="007A0163"/>
    <w:rsid w:val="007A0B68"/>
    <w:rsid w:val="007A0D00"/>
    <w:rsid w:val="007A2B53"/>
    <w:rsid w:val="007A3736"/>
    <w:rsid w:val="007A452C"/>
    <w:rsid w:val="007A5858"/>
    <w:rsid w:val="007A638A"/>
    <w:rsid w:val="007B2541"/>
    <w:rsid w:val="007B25AB"/>
    <w:rsid w:val="007B2E61"/>
    <w:rsid w:val="007B4595"/>
    <w:rsid w:val="007B4A4E"/>
    <w:rsid w:val="007B4A61"/>
    <w:rsid w:val="007B5500"/>
    <w:rsid w:val="007C02CC"/>
    <w:rsid w:val="007C1154"/>
    <w:rsid w:val="007C1512"/>
    <w:rsid w:val="007C18CB"/>
    <w:rsid w:val="007C3797"/>
    <w:rsid w:val="007C4802"/>
    <w:rsid w:val="007C488D"/>
    <w:rsid w:val="007C4968"/>
    <w:rsid w:val="007C5AB5"/>
    <w:rsid w:val="007C60D7"/>
    <w:rsid w:val="007C76F1"/>
    <w:rsid w:val="007C7D8C"/>
    <w:rsid w:val="007D03DA"/>
    <w:rsid w:val="007D1811"/>
    <w:rsid w:val="007D2200"/>
    <w:rsid w:val="007D23FF"/>
    <w:rsid w:val="007D2968"/>
    <w:rsid w:val="007D45B3"/>
    <w:rsid w:val="007D4EE3"/>
    <w:rsid w:val="007D68F9"/>
    <w:rsid w:val="007D7075"/>
    <w:rsid w:val="007D7E1F"/>
    <w:rsid w:val="007E2D95"/>
    <w:rsid w:val="007E44D1"/>
    <w:rsid w:val="007E457A"/>
    <w:rsid w:val="007E5DD0"/>
    <w:rsid w:val="007E715C"/>
    <w:rsid w:val="007F19CC"/>
    <w:rsid w:val="007F1B00"/>
    <w:rsid w:val="007F278C"/>
    <w:rsid w:val="007F3511"/>
    <w:rsid w:val="007F673D"/>
    <w:rsid w:val="007F70EE"/>
    <w:rsid w:val="00800B88"/>
    <w:rsid w:val="00802EFA"/>
    <w:rsid w:val="008030DF"/>
    <w:rsid w:val="00804F76"/>
    <w:rsid w:val="00805DFE"/>
    <w:rsid w:val="0080657F"/>
    <w:rsid w:val="00807089"/>
    <w:rsid w:val="00807A2F"/>
    <w:rsid w:val="00807AC1"/>
    <w:rsid w:val="008117C9"/>
    <w:rsid w:val="00812EC7"/>
    <w:rsid w:val="0081471C"/>
    <w:rsid w:val="00815DD8"/>
    <w:rsid w:val="008169B7"/>
    <w:rsid w:val="008179A9"/>
    <w:rsid w:val="00817EE7"/>
    <w:rsid w:val="00820189"/>
    <w:rsid w:val="00821987"/>
    <w:rsid w:val="00823FEE"/>
    <w:rsid w:val="00825965"/>
    <w:rsid w:val="00825EAB"/>
    <w:rsid w:val="0082609D"/>
    <w:rsid w:val="008268F0"/>
    <w:rsid w:val="00826E10"/>
    <w:rsid w:val="008300F2"/>
    <w:rsid w:val="00832DFE"/>
    <w:rsid w:val="00832F6C"/>
    <w:rsid w:val="00833AB0"/>
    <w:rsid w:val="00833CE8"/>
    <w:rsid w:val="008342C2"/>
    <w:rsid w:val="0083591D"/>
    <w:rsid w:val="00835A5A"/>
    <w:rsid w:val="00835F31"/>
    <w:rsid w:val="008374D8"/>
    <w:rsid w:val="00837762"/>
    <w:rsid w:val="0084030C"/>
    <w:rsid w:val="0084060C"/>
    <w:rsid w:val="00840C35"/>
    <w:rsid w:val="00840E12"/>
    <w:rsid w:val="00844276"/>
    <w:rsid w:val="00844D59"/>
    <w:rsid w:val="00846493"/>
    <w:rsid w:val="008465C0"/>
    <w:rsid w:val="00850FFC"/>
    <w:rsid w:val="00853F53"/>
    <w:rsid w:val="00853F73"/>
    <w:rsid w:val="0085414F"/>
    <w:rsid w:val="00854F82"/>
    <w:rsid w:val="0085527E"/>
    <w:rsid w:val="00855E33"/>
    <w:rsid w:val="0085621E"/>
    <w:rsid w:val="008578A5"/>
    <w:rsid w:val="00862394"/>
    <w:rsid w:val="00865685"/>
    <w:rsid w:val="00865FA2"/>
    <w:rsid w:val="00866495"/>
    <w:rsid w:val="00866F39"/>
    <w:rsid w:val="00870377"/>
    <w:rsid w:val="00870496"/>
    <w:rsid w:val="00871D69"/>
    <w:rsid w:val="008722AD"/>
    <w:rsid w:val="008737C0"/>
    <w:rsid w:val="00874840"/>
    <w:rsid w:val="0087690A"/>
    <w:rsid w:val="0088028B"/>
    <w:rsid w:val="00881EC5"/>
    <w:rsid w:val="00883829"/>
    <w:rsid w:val="0088392C"/>
    <w:rsid w:val="00884B55"/>
    <w:rsid w:val="00887059"/>
    <w:rsid w:val="00887AB2"/>
    <w:rsid w:val="00896E7B"/>
    <w:rsid w:val="00897A02"/>
    <w:rsid w:val="00897DFE"/>
    <w:rsid w:val="008A09FF"/>
    <w:rsid w:val="008A1C58"/>
    <w:rsid w:val="008A2810"/>
    <w:rsid w:val="008A42C9"/>
    <w:rsid w:val="008A7816"/>
    <w:rsid w:val="008B1E1D"/>
    <w:rsid w:val="008B1E3C"/>
    <w:rsid w:val="008B2A7A"/>
    <w:rsid w:val="008B359D"/>
    <w:rsid w:val="008B4626"/>
    <w:rsid w:val="008C353E"/>
    <w:rsid w:val="008C3DD6"/>
    <w:rsid w:val="008C61ED"/>
    <w:rsid w:val="008C61FB"/>
    <w:rsid w:val="008C7ED8"/>
    <w:rsid w:val="008D09DB"/>
    <w:rsid w:val="008D184E"/>
    <w:rsid w:val="008D29C4"/>
    <w:rsid w:val="008D3B72"/>
    <w:rsid w:val="008D407D"/>
    <w:rsid w:val="008D410C"/>
    <w:rsid w:val="008D4EF0"/>
    <w:rsid w:val="008D59D3"/>
    <w:rsid w:val="008D6B99"/>
    <w:rsid w:val="008E0438"/>
    <w:rsid w:val="008E0F60"/>
    <w:rsid w:val="008E3204"/>
    <w:rsid w:val="008E59C7"/>
    <w:rsid w:val="008E5C35"/>
    <w:rsid w:val="008E6384"/>
    <w:rsid w:val="008E7218"/>
    <w:rsid w:val="008F0E9E"/>
    <w:rsid w:val="008F13FF"/>
    <w:rsid w:val="008F2083"/>
    <w:rsid w:val="008F3472"/>
    <w:rsid w:val="008F37DF"/>
    <w:rsid w:val="008F3BD1"/>
    <w:rsid w:val="008F6012"/>
    <w:rsid w:val="008F662E"/>
    <w:rsid w:val="008F6A3C"/>
    <w:rsid w:val="008F6AA7"/>
    <w:rsid w:val="008F74F2"/>
    <w:rsid w:val="008F7F4A"/>
    <w:rsid w:val="00900A74"/>
    <w:rsid w:val="009017B8"/>
    <w:rsid w:val="009022D3"/>
    <w:rsid w:val="0090338A"/>
    <w:rsid w:val="0090363A"/>
    <w:rsid w:val="00903953"/>
    <w:rsid w:val="0090397F"/>
    <w:rsid w:val="0090410D"/>
    <w:rsid w:val="00904F3C"/>
    <w:rsid w:val="00906C38"/>
    <w:rsid w:val="00907209"/>
    <w:rsid w:val="00907E92"/>
    <w:rsid w:val="00910C2F"/>
    <w:rsid w:val="0091319D"/>
    <w:rsid w:val="00913322"/>
    <w:rsid w:val="00914A51"/>
    <w:rsid w:val="009150E9"/>
    <w:rsid w:val="00915D88"/>
    <w:rsid w:val="00916E78"/>
    <w:rsid w:val="00917953"/>
    <w:rsid w:val="009205BC"/>
    <w:rsid w:val="00921174"/>
    <w:rsid w:val="00922DEB"/>
    <w:rsid w:val="00922EBD"/>
    <w:rsid w:val="009234C3"/>
    <w:rsid w:val="00923744"/>
    <w:rsid w:val="00923C63"/>
    <w:rsid w:val="00925570"/>
    <w:rsid w:val="009260B1"/>
    <w:rsid w:val="00930DFF"/>
    <w:rsid w:val="009325DE"/>
    <w:rsid w:val="00932E6F"/>
    <w:rsid w:val="00934FE4"/>
    <w:rsid w:val="009353A1"/>
    <w:rsid w:val="009369D0"/>
    <w:rsid w:val="00937BDF"/>
    <w:rsid w:val="009446C8"/>
    <w:rsid w:val="00945ECB"/>
    <w:rsid w:val="00946AFF"/>
    <w:rsid w:val="009519AE"/>
    <w:rsid w:val="00951C49"/>
    <w:rsid w:val="00952663"/>
    <w:rsid w:val="00952B18"/>
    <w:rsid w:val="00952D98"/>
    <w:rsid w:val="009538D5"/>
    <w:rsid w:val="00954AC0"/>
    <w:rsid w:val="00954E92"/>
    <w:rsid w:val="0095605B"/>
    <w:rsid w:val="00956EC0"/>
    <w:rsid w:val="00964E7D"/>
    <w:rsid w:val="0096585F"/>
    <w:rsid w:val="00970D26"/>
    <w:rsid w:val="009717D3"/>
    <w:rsid w:val="00975007"/>
    <w:rsid w:val="009754AE"/>
    <w:rsid w:val="00975B3F"/>
    <w:rsid w:val="00976D12"/>
    <w:rsid w:val="009771C3"/>
    <w:rsid w:val="009772BB"/>
    <w:rsid w:val="00980DD3"/>
    <w:rsid w:val="00981530"/>
    <w:rsid w:val="00981678"/>
    <w:rsid w:val="00982823"/>
    <w:rsid w:val="00983B9D"/>
    <w:rsid w:val="00984235"/>
    <w:rsid w:val="00984357"/>
    <w:rsid w:val="0098631D"/>
    <w:rsid w:val="00986A20"/>
    <w:rsid w:val="00990022"/>
    <w:rsid w:val="0099103C"/>
    <w:rsid w:val="009947CD"/>
    <w:rsid w:val="009952D4"/>
    <w:rsid w:val="0099547A"/>
    <w:rsid w:val="00996677"/>
    <w:rsid w:val="009A035E"/>
    <w:rsid w:val="009A200D"/>
    <w:rsid w:val="009A4D51"/>
    <w:rsid w:val="009A5C82"/>
    <w:rsid w:val="009A6204"/>
    <w:rsid w:val="009A68FE"/>
    <w:rsid w:val="009A70F1"/>
    <w:rsid w:val="009B0963"/>
    <w:rsid w:val="009B0B52"/>
    <w:rsid w:val="009B1BC6"/>
    <w:rsid w:val="009B26F0"/>
    <w:rsid w:val="009B38C4"/>
    <w:rsid w:val="009B54F6"/>
    <w:rsid w:val="009B5C15"/>
    <w:rsid w:val="009B795E"/>
    <w:rsid w:val="009B7AF9"/>
    <w:rsid w:val="009C028A"/>
    <w:rsid w:val="009C2D11"/>
    <w:rsid w:val="009C2D4B"/>
    <w:rsid w:val="009C2E0A"/>
    <w:rsid w:val="009C3989"/>
    <w:rsid w:val="009C408D"/>
    <w:rsid w:val="009C4DF2"/>
    <w:rsid w:val="009C5736"/>
    <w:rsid w:val="009C58C9"/>
    <w:rsid w:val="009C6DF1"/>
    <w:rsid w:val="009D154D"/>
    <w:rsid w:val="009D2453"/>
    <w:rsid w:val="009D43D9"/>
    <w:rsid w:val="009D4D7C"/>
    <w:rsid w:val="009D5B63"/>
    <w:rsid w:val="009E12A1"/>
    <w:rsid w:val="009E1FC3"/>
    <w:rsid w:val="009E20B7"/>
    <w:rsid w:val="009E24D9"/>
    <w:rsid w:val="009E2AF0"/>
    <w:rsid w:val="009E3375"/>
    <w:rsid w:val="009E5051"/>
    <w:rsid w:val="009E732E"/>
    <w:rsid w:val="009F0712"/>
    <w:rsid w:val="009F0879"/>
    <w:rsid w:val="009F20E1"/>
    <w:rsid w:val="009F254A"/>
    <w:rsid w:val="009F34C1"/>
    <w:rsid w:val="009F569A"/>
    <w:rsid w:val="009F5D70"/>
    <w:rsid w:val="009F7473"/>
    <w:rsid w:val="009F798D"/>
    <w:rsid w:val="00A01397"/>
    <w:rsid w:val="00A035A9"/>
    <w:rsid w:val="00A03945"/>
    <w:rsid w:val="00A0538A"/>
    <w:rsid w:val="00A05BA1"/>
    <w:rsid w:val="00A07E80"/>
    <w:rsid w:val="00A12BB0"/>
    <w:rsid w:val="00A13169"/>
    <w:rsid w:val="00A13686"/>
    <w:rsid w:val="00A1575A"/>
    <w:rsid w:val="00A15C45"/>
    <w:rsid w:val="00A15C7C"/>
    <w:rsid w:val="00A2054D"/>
    <w:rsid w:val="00A210D9"/>
    <w:rsid w:val="00A21642"/>
    <w:rsid w:val="00A219F2"/>
    <w:rsid w:val="00A224CB"/>
    <w:rsid w:val="00A22ADB"/>
    <w:rsid w:val="00A23CE2"/>
    <w:rsid w:val="00A254B1"/>
    <w:rsid w:val="00A25BD3"/>
    <w:rsid w:val="00A270A8"/>
    <w:rsid w:val="00A30861"/>
    <w:rsid w:val="00A30E0C"/>
    <w:rsid w:val="00A31CC7"/>
    <w:rsid w:val="00A32141"/>
    <w:rsid w:val="00A331BD"/>
    <w:rsid w:val="00A34351"/>
    <w:rsid w:val="00A36574"/>
    <w:rsid w:val="00A36657"/>
    <w:rsid w:val="00A36F59"/>
    <w:rsid w:val="00A376FF"/>
    <w:rsid w:val="00A379D3"/>
    <w:rsid w:val="00A405D9"/>
    <w:rsid w:val="00A4085D"/>
    <w:rsid w:val="00A41B19"/>
    <w:rsid w:val="00A43D22"/>
    <w:rsid w:val="00A44603"/>
    <w:rsid w:val="00A44691"/>
    <w:rsid w:val="00A448F3"/>
    <w:rsid w:val="00A45367"/>
    <w:rsid w:val="00A4550D"/>
    <w:rsid w:val="00A45A4B"/>
    <w:rsid w:val="00A46A86"/>
    <w:rsid w:val="00A471CD"/>
    <w:rsid w:val="00A47C5E"/>
    <w:rsid w:val="00A50966"/>
    <w:rsid w:val="00A512CC"/>
    <w:rsid w:val="00A520DF"/>
    <w:rsid w:val="00A524FD"/>
    <w:rsid w:val="00A52EC6"/>
    <w:rsid w:val="00A53E67"/>
    <w:rsid w:val="00A540F5"/>
    <w:rsid w:val="00A54883"/>
    <w:rsid w:val="00A55902"/>
    <w:rsid w:val="00A55BB4"/>
    <w:rsid w:val="00A56AC9"/>
    <w:rsid w:val="00A570C5"/>
    <w:rsid w:val="00A5733A"/>
    <w:rsid w:val="00A573BA"/>
    <w:rsid w:val="00A605C4"/>
    <w:rsid w:val="00A60860"/>
    <w:rsid w:val="00A6128A"/>
    <w:rsid w:val="00A621DF"/>
    <w:rsid w:val="00A62C9A"/>
    <w:rsid w:val="00A62D83"/>
    <w:rsid w:val="00A656A9"/>
    <w:rsid w:val="00A65B01"/>
    <w:rsid w:val="00A66CA9"/>
    <w:rsid w:val="00A67778"/>
    <w:rsid w:val="00A70026"/>
    <w:rsid w:val="00A731DE"/>
    <w:rsid w:val="00A73C89"/>
    <w:rsid w:val="00A74E3D"/>
    <w:rsid w:val="00A751F5"/>
    <w:rsid w:val="00A75B7B"/>
    <w:rsid w:val="00A76711"/>
    <w:rsid w:val="00A8013A"/>
    <w:rsid w:val="00A80536"/>
    <w:rsid w:val="00A8283C"/>
    <w:rsid w:val="00A8651F"/>
    <w:rsid w:val="00A87092"/>
    <w:rsid w:val="00A926F4"/>
    <w:rsid w:val="00A92A21"/>
    <w:rsid w:val="00A92C60"/>
    <w:rsid w:val="00A93B72"/>
    <w:rsid w:val="00A96194"/>
    <w:rsid w:val="00AA09DE"/>
    <w:rsid w:val="00AA1F7D"/>
    <w:rsid w:val="00AA34BE"/>
    <w:rsid w:val="00AA4091"/>
    <w:rsid w:val="00AA5070"/>
    <w:rsid w:val="00AA52AC"/>
    <w:rsid w:val="00AB0C2A"/>
    <w:rsid w:val="00AB1D83"/>
    <w:rsid w:val="00AB2006"/>
    <w:rsid w:val="00AB3AFE"/>
    <w:rsid w:val="00AB43F5"/>
    <w:rsid w:val="00AB582E"/>
    <w:rsid w:val="00AB6631"/>
    <w:rsid w:val="00AB7231"/>
    <w:rsid w:val="00AB7248"/>
    <w:rsid w:val="00AB74A8"/>
    <w:rsid w:val="00AC03B5"/>
    <w:rsid w:val="00AC0735"/>
    <w:rsid w:val="00AC4186"/>
    <w:rsid w:val="00AC4BA5"/>
    <w:rsid w:val="00AC679E"/>
    <w:rsid w:val="00AC69EB"/>
    <w:rsid w:val="00AD0748"/>
    <w:rsid w:val="00AD1EFB"/>
    <w:rsid w:val="00AD20DF"/>
    <w:rsid w:val="00AD2444"/>
    <w:rsid w:val="00AD71C4"/>
    <w:rsid w:val="00AD7CF8"/>
    <w:rsid w:val="00AD7DA4"/>
    <w:rsid w:val="00AD7ED0"/>
    <w:rsid w:val="00AE0AA3"/>
    <w:rsid w:val="00AE1F17"/>
    <w:rsid w:val="00AE2A0C"/>
    <w:rsid w:val="00AE3B1A"/>
    <w:rsid w:val="00AE44DA"/>
    <w:rsid w:val="00AE4755"/>
    <w:rsid w:val="00AE5206"/>
    <w:rsid w:val="00AE5766"/>
    <w:rsid w:val="00AE5D32"/>
    <w:rsid w:val="00AF04DB"/>
    <w:rsid w:val="00AF059C"/>
    <w:rsid w:val="00AF0EF5"/>
    <w:rsid w:val="00AF2C1A"/>
    <w:rsid w:val="00AF32F9"/>
    <w:rsid w:val="00AF55E0"/>
    <w:rsid w:val="00AF75BC"/>
    <w:rsid w:val="00AF78E3"/>
    <w:rsid w:val="00B00E90"/>
    <w:rsid w:val="00B00FA2"/>
    <w:rsid w:val="00B013C6"/>
    <w:rsid w:val="00B01D5D"/>
    <w:rsid w:val="00B0231D"/>
    <w:rsid w:val="00B0256D"/>
    <w:rsid w:val="00B02646"/>
    <w:rsid w:val="00B02F11"/>
    <w:rsid w:val="00B059E2"/>
    <w:rsid w:val="00B06509"/>
    <w:rsid w:val="00B06930"/>
    <w:rsid w:val="00B07B20"/>
    <w:rsid w:val="00B07E96"/>
    <w:rsid w:val="00B10380"/>
    <w:rsid w:val="00B104C1"/>
    <w:rsid w:val="00B10B16"/>
    <w:rsid w:val="00B10EA2"/>
    <w:rsid w:val="00B1300F"/>
    <w:rsid w:val="00B13A2D"/>
    <w:rsid w:val="00B14175"/>
    <w:rsid w:val="00B15D2C"/>
    <w:rsid w:val="00B178E8"/>
    <w:rsid w:val="00B17A61"/>
    <w:rsid w:val="00B17FAB"/>
    <w:rsid w:val="00B204AB"/>
    <w:rsid w:val="00B20BDD"/>
    <w:rsid w:val="00B210EE"/>
    <w:rsid w:val="00B2191B"/>
    <w:rsid w:val="00B2501D"/>
    <w:rsid w:val="00B25342"/>
    <w:rsid w:val="00B26D7C"/>
    <w:rsid w:val="00B306A5"/>
    <w:rsid w:val="00B322AF"/>
    <w:rsid w:val="00B33B59"/>
    <w:rsid w:val="00B34A98"/>
    <w:rsid w:val="00B34F5C"/>
    <w:rsid w:val="00B35B87"/>
    <w:rsid w:val="00B3795C"/>
    <w:rsid w:val="00B37E03"/>
    <w:rsid w:val="00B43BE7"/>
    <w:rsid w:val="00B45B39"/>
    <w:rsid w:val="00B46311"/>
    <w:rsid w:val="00B46DDB"/>
    <w:rsid w:val="00B46F1A"/>
    <w:rsid w:val="00B5125C"/>
    <w:rsid w:val="00B512D8"/>
    <w:rsid w:val="00B51722"/>
    <w:rsid w:val="00B520AB"/>
    <w:rsid w:val="00B52394"/>
    <w:rsid w:val="00B52D21"/>
    <w:rsid w:val="00B52E2E"/>
    <w:rsid w:val="00B5522A"/>
    <w:rsid w:val="00B554BF"/>
    <w:rsid w:val="00B57FD3"/>
    <w:rsid w:val="00B60DE0"/>
    <w:rsid w:val="00B6160E"/>
    <w:rsid w:val="00B63F4F"/>
    <w:rsid w:val="00B653DF"/>
    <w:rsid w:val="00B67644"/>
    <w:rsid w:val="00B67AE3"/>
    <w:rsid w:val="00B67C11"/>
    <w:rsid w:val="00B7175F"/>
    <w:rsid w:val="00B72479"/>
    <w:rsid w:val="00B75FBE"/>
    <w:rsid w:val="00B76978"/>
    <w:rsid w:val="00B770AA"/>
    <w:rsid w:val="00B777B4"/>
    <w:rsid w:val="00B8242F"/>
    <w:rsid w:val="00B82ED3"/>
    <w:rsid w:val="00B83523"/>
    <w:rsid w:val="00B844B4"/>
    <w:rsid w:val="00B845BB"/>
    <w:rsid w:val="00B85E2E"/>
    <w:rsid w:val="00B873F3"/>
    <w:rsid w:val="00B87E29"/>
    <w:rsid w:val="00B90718"/>
    <w:rsid w:val="00B91776"/>
    <w:rsid w:val="00B94A35"/>
    <w:rsid w:val="00B95C84"/>
    <w:rsid w:val="00BA029E"/>
    <w:rsid w:val="00BA0459"/>
    <w:rsid w:val="00BA0675"/>
    <w:rsid w:val="00BA0C95"/>
    <w:rsid w:val="00BA3EDB"/>
    <w:rsid w:val="00BA3F21"/>
    <w:rsid w:val="00BA4319"/>
    <w:rsid w:val="00BA5189"/>
    <w:rsid w:val="00BA5522"/>
    <w:rsid w:val="00BA5B38"/>
    <w:rsid w:val="00BB1FAE"/>
    <w:rsid w:val="00BB37DD"/>
    <w:rsid w:val="00BB3F18"/>
    <w:rsid w:val="00BB66AB"/>
    <w:rsid w:val="00BB7BCF"/>
    <w:rsid w:val="00BC1BB2"/>
    <w:rsid w:val="00BC1CFC"/>
    <w:rsid w:val="00BC20CE"/>
    <w:rsid w:val="00BC335C"/>
    <w:rsid w:val="00BC3F87"/>
    <w:rsid w:val="00BC4441"/>
    <w:rsid w:val="00BC54DD"/>
    <w:rsid w:val="00BC6B5B"/>
    <w:rsid w:val="00BC6BFA"/>
    <w:rsid w:val="00BC7517"/>
    <w:rsid w:val="00BC7E2B"/>
    <w:rsid w:val="00BD0CE8"/>
    <w:rsid w:val="00BD1453"/>
    <w:rsid w:val="00BD1BC6"/>
    <w:rsid w:val="00BD2272"/>
    <w:rsid w:val="00BD5A90"/>
    <w:rsid w:val="00BD5EB9"/>
    <w:rsid w:val="00BD7A16"/>
    <w:rsid w:val="00BE1ED0"/>
    <w:rsid w:val="00BE3509"/>
    <w:rsid w:val="00BE3FD1"/>
    <w:rsid w:val="00BE41BE"/>
    <w:rsid w:val="00BE425C"/>
    <w:rsid w:val="00BE51BC"/>
    <w:rsid w:val="00BE5880"/>
    <w:rsid w:val="00BE7BD1"/>
    <w:rsid w:val="00BF0A84"/>
    <w:rsid w:val="00BF3E0A"/>
    <w:rsid w:val="00BF4F3A"/>
    <w:rsid w:val="00C01240"/>
    <w:rsid w:val="00C01824"/>
    <w:rsid w:val="00C02E6E"/>
    <w:rsid w:val="00C03DB1"/>
    <w:rsid w:val="00C05706"/>
    <w:rsid w:val="00C05935"/>
    <w:rsid w:val="00C05D2A"/>
    <w:rsid w:val="00C066AC"/>
    <w:rsid w:val="00C06B2C"/>
    <w:rsid w:val="00C06E45"/>
    <w:rsid w:val="00C06F24"/>
    <w:rsid w:val="00C1142C"/>
    <w:rsid w:val="00C135DB"/>
    <w:rsid w:val="00C14237"/>
    <w:rsid w:val="00C14BC1"/>
    <w:rsid w:val="00C15133"/>
    <w:rsid w:val="00C158D7"/>
    <w:rsid w:val="00C16C30"/>
    <w:rsid w:val="00C17149"/>
    <w:rsid w:val="00C174D3"/>
    <w:rsid w:val="00C238A0"/>
    <w:rsid w:val="00C23E86"/>
    <w:rsid w:val="00C269E6"/>
    <w:rsid w:val="00C279D5"/>
    <w:rsid w:val="00C27CFD"/>
    <w:rsid w:val="00C30292"/>
    <w:rsid w:val="00C302C7"/>
    <w:rsid w:val="00C30C9E"/>
    <w:rsid w:val="00C31063"/>
    <w:rsid w:val="00C4074B"/>
    <w:rsid w:val="00C44F59"/>
    <w:rsid w:val="00C46AF0"/>
    <w:rsid w:val="00C516DE"/>
    <w:rsid w:val="00C51C17"/>
    <w:rsid w:val="00C51E3C"/>
    <w:rsid w:val="00C52DA5"/>
    <w:rsid w:val="00C54273"/>
    <w:rsid w:val="00C54660"/>
    <w:rsid w:val="00C56F09"/>
    <w:rsid w:val="00C6182D"/>
    <w:rsid w:val="00C62D3C"/>
    <w:rsid w:val="00C64DE6"/>
    <w:rsid w:val="00C66614"/>
    <w:rsid w:val="00C6670B"/>
    <w:rsid w:val="00C704EA"/>
    <w:rsid w:val="00C7058B"/>
    <w:rsid w:val="00C70B69"/>
    <w:rsid w:val="00C7178C"/>
    <w:rsid w:val="00C71848"/>
    <w:rsid w:val="00C71972"/>
    <w:rsid w:val="00C71D56"/>
    <w:rsid w:val="00C7212E"/>
    <w:rsid w:val="00C721BB"/>
    <w:rsid w:val="00C72F7D"/>
    <w:rsid w:val="00C72FC2"/>
    <w:rsid w:val="00C73899"/>
    <w:rsid w:val="00C73958"/>
    <w:rsid w:val="00C73FD3"/>
    <w:rsid w:val="00C744F2"/>
    <w:rsid w:val="00C752AF"/>
    <w:rsid w:val="00C7721D"/>
    <w:rsid w:val="00C77B16"/>
    <w:rsid w:val="00C80711"/>
    <w:rsid w:val="00C82A69"/>
    <w:rsid w:val="00C8381E"/>
    <w:rsid w:val="00C83F83"/>
    <w:rsid w:val="00C8629A"/>
    <w:rsid w:val="00C9114F"/>
    <w:rsid w:val="00C9164C"/>
    <w:rsid w:val="00C91C23"/>
    <w:rsid w:val="00C930B1"/>
    <w:rsid w:val="00C941F1"/>
    <w:rsid w:val="00C943BB"/>
    <w:rsid w:val="00C951B6"/>
    <w:rsid w:val="00C9580C"/>
    <w:rsid w:val="00C958CD"/>
    <w:rsid w:val="00CA1B19"/>
    <w:rsid w:val="00CA2567"/>
    <w:rsid w:val="00CA2AA4"/>
    <w:rsid w:val="00CA3AB4"/>
    <w:rsid w:val="00CA4E91"/>
    <w:rsid w:val="00CA582F"/>
    <w:rsid w:val="00CA69D3"/>
    <w:rsid w:val="00CB08DD"/>
    <w:rsid w:val="00CB47CF"/>
    <w:rsid w:val="00CB4805"/>
    <w:rsid w:val="00CB4A80"/>
    <w:rsid w:val="00CC020E"/>
    <w:rsid w:val="00CC0322"/>
    <w:rsid w:val="00CC124B"/>
    <w:rsid w:val="00CC1CBC"/>
    <w:rsid w:val="00CC2928"/>
    <w:rsid w:val="00CC4B98"/>
    <w:rsid w:val="00CC5C5B"/>
    <w:rsid w:val="00CC6042"/>
    <w:rsid w:val="00CC65ED"/>
    <w:rsid w:val="00CC6EC3"/>
    <w:rsid w:val="00CD0DB9"/>
    <w:rsid w:val="00CD0F85"/>
    <w:rsid w:val="00CD160F"/>
    <w:rsid w:val="00CD2041"/>
    <w:rsid w:val="00CD3A50"/>
    <w:rsid w:val="00CD4BE4"/>
    <w:rsid w:val="00CD4EFB"/>
    <w:rsid w:val="00CE0772"/>
    <w:rsid w:val="00CE3B89"/>
    <w:rsid w:val="00CE3DC8"/>
    <w:rsid w:val="00CE462F"/>
    <w:rsid w:val="00CE47FA"/>
    <w:rsid w:val="00CE5FD8"/>
    <w:rsid w:val="00CF1382"/>
    <w:rsid w:val="00CF28DF"/>
    <w:rsid w:val="00CF2CCA"/>
    <w:rsid w:val="00CF3795"/>
    <w:rsid w:val="00CF48BA"/>
    <w:rsid w:val="00CF7F36"/>
    <w:rsid w:val="00D00E2F"/>
    <w:rsid w:val="00D03D31"/>
    <w:rsid w:val="00D066DA"/>
    <w:rsid w:val="00D110B7"/>
    <w:rsid w:val="00D11A07"/>
    <w:rsid w:val="00D128D1"/>
    <w:rsid w:val="00D1292B"/>
    <w:rsid w:val="00D130D8"/>
    <w:rsid w:val="00D162C5"/>
    <w:rsid w:val="00D16D83"/>
    <w:rsid w:val="00D2502D"/>
    <w:rsid w:val="00D2547E"/>
    <w:rsid w:val="00D26CF5"/>
    <w:rsid w:val="00D27DD8"/>
    <w:rsid w:val="00D32107"/>
    <w:rsid w:val="00D32563"/>
    <w:rsid w:val="00D32A40"/>
    <w:rsid w:val="00D33BE2"/>
    <w:rsid w:val="00D33C24"/>
    <w:rsid w:val="00D340C4"/>
    <w:rsid w:val="00D34994"/>
    <w:rsid w:val="00D3724A"/>
    <w:rsid w:val="00D42932"/>
    <w:rsid w:val="00D4434D"/>
    <w:rsid w:val="00D44FE6"/>
    <w:rsid w:val="00D50BAF"/>
    <w:rsid w:val="00D51158"/>
    <w:rsid w:val="00D51BB4"/>
    <w:rsid w:val="00D54164"/>
    <w:rsid w:val="00D54A66"/>
    <w:rsid w:val="00D5598F"/>
    <w:rsid w:val="00D56281"/>
    <w:rsid w:val="00D56B6C"/>
    <w:rsid w:val="00D61400"/>
    <w:rsid w:val="00D61F70"/>
    <w:rsid w:val="00D61FA4"/>
    <w:rsid w:val="00D6403D"/>
    <w:rsid w:val="00D64067"/>
    <w:rsid w:val="00D650DE"/>
    <w:rsid w:val="00D6743A"/>
    <w:rsid w:val="00D675FB"/>
    <w:rsid w:val="00D678AF"/>
    <w:rsid w:val="00D67EA7"/>
    <w:rsid w:val="00D7232C"/>
    <w:rsid w:val="00D725AD"/>
    <w:rsid w:val="00D732A0"/>
    <w:rsid w:val="00D801AB"/>
    <w:rsid w:val="00D8140E"/>
    <w:rsid w:val="00D81784"/>
    <w:rsid w:val="00D81C88"/>
    <w:rsid w:val="00D81F23"/>
    <w:rsid w:val="00D8438F"/>
    <w:rsid w:val="00D84D33"/>
    <w:rsid w:val="00D86390"/>
    <w:rsid w:val="00D86DB5"/>
    <w:rsid w:val="00D900B1"/>
    <w:rsid w:val="00D91281"/>
    <w:rsid w:val="00D9262A"/>
    <w:rsid w:val="00D92A79"/>
    <w:rsid w:val="00D92E60"/>
    <w:rsid w:val="00D92E6D"/>
    <w:rsid w:val="00DA1E33"/>
    <w:rsid w:val="00DA4A44"/>
    <w:rsid w:val="00DA4EA6"/>
    <w:rsid w:val="00DA64B9"/>
    <w:rsid w:val="00DA7111"/>
    <w:rsid w:val="00DA7889"/>
    <w:rsid w:val="00DA7AAD"/>
    <w:rsid w:val="00DB021A"/>
    <w:rsid w:val="00DB2444"/>
    <w:rsid w:val="00DB7944"/>
    <w:rsid w:val="00DB7E4C"/>
    <w:rsid w:val="00DC0135"/>
    <w:rsid w:val="00DC1F28"/>
    <w:rsid w:val="00DC20E9"/>
    <w:rsid w:val="00DC241E"/>
    <w:rsid w:val="00DC41FB"/>
    <w:rsid w:val="00DC4DC3"/>
    <w:rsid w:val="00DC592A"/>
    <w:rsid w:val="00DC6D25"/>
    <w:rsid w:val="00DC6D4B"/>
    <w:rsid w:val="00DD01F2"/>
    <w:rsid w:val="00DD223B"/>
    <w:rsid w:val="00DD6581"/>
    <w:rsid w:val="00DD6794"/>
    <w:rsid w:val="00DD70A5"/>
    <w:rsid w:val="00DD7DDC"/>
    <w:rsid w:val="00DE041E"/>
    <w:rsid w:val="00DE0598"/>
    <w:rsid w:val="00DE1CFD"/>
    <w:rsid w:val="00DE1E47"/>
    <w:rsid w:val="00DE233D"/>
    <w:rsid w:val="00DE4CEB"/>
    <w:rsid w:val="00DE61A0"/>
    <w:rsid w:val="00DE7A9B"/>
    <w:rsid w:val="00DF025C"/>
    <w:rsid w:val="00DF1484"/>
    <w:rsid w:val="00DF16A0"/>
    <w:rsid w:val="00DF1A85"/>
    <w:rsid w:val="00DF33C6"/>
    <w:rsid w:val="00DF4989"/>
    <w:rsid w:val="00DF50A7"/>
    <w:rsid w:val="00DF543F"/>
    <w:rsid w:val="00DF5633"/>
    <w:rsid w:val="00DF68F5"/>
    <w:rsid w:val="00DF6BCB"/>
    <w:rsid w:val="00E000A7"/>
    <w:rsid w:val="00E0311B"/>
    <w:rsid w:val="00E0432C"/>
    <w:rsid w:val="00E05C3D"/>
    <w:rsid w:val="00E05DAF"/>
    <w:rsid w:val="00E067F9"/>
    <w:rsid w:val="00E06878"/>
    <w:rsid w:val="00E06936"/>
    <w:rsid w:val="00E06962"/>
    <w:rsid w:val="00E06FE8"/>
    <w:rsid w:val="00E11BE9"/>
    <w:rsid w:val="00E1533E"/>
    <w:rsid w:val="00E1577F"/>
    <w:rsid w:val="00E163D7"/>
    <w:rsid w:val="00E1697C"/>
    <w:rsid w:val="00E17625"/>
    <w:rsid w:val="00E17C21"/>
    <w:rsid w:val="00E2188F"/>
    <w:rsid w:val="00E2259D"/>
    <w:rsid w:val="00E229D4"/>
    <w:rsid w:val="00E240F2"/>
    <w:rsid w:val="00E247EF"/>
    <w:rsid w:val="00E24BC5"/>
    <w:rsid w:val="00E25242"/>
    <w:rsid w:val="00E25299"/>
    <w:rsid w:val="00E2577E"/>
    <w:rsid w:val="00E25D34"/>
    <w:rsid w:val="00E26D28"/>
    <w:rsid w:val="00E27242"/>
    <w:rsid w:val="00E27C9A"/>
    <w:rsid w:val="00E322D3"/>
    <w:rsid w:val="00E357EC"/>
    <w:rsid w:val="00E362F8"/>
    <w:rsid w:val="00E37A14"/>
    <w:rsid w:val="00E428FD"/>
    <w:rsid w:val="00E42AC3"/>
    <w:rsid w:val="00E42DFF"/>
    <w:rsid w:val="00E44282"/>
    <w:rsid w:val="00E4737C"/>
    <w:rsid w:val="00E47C5C"/>
    <w:rsid w:val="00E50C6B"/>
    <w:rsid w:val="00E51205"/>
    <w:rsid w:val="00E5151F"/>
    <w:rsid w:val="00E5313D"/>
    <w:rsid w:val="00E54343"/>
    <w:rsid w:val="00E5499D"/>
    <w:rsid w:val="00E559BC"/>
    <w:rsid w:val="00E565E7"/>
    <w:rsid w:val="00E57734"/>
    <w:rsid w:val="00E57C1F"/>
    <w:rsid w:val="00E60ECB"/>
    <w:rsid w:val="00E60F3C"/>
    <w:rsid w:val="00E62D22"/>
    <w:rsid w:val="00E64BB1"/>
    <w:rsid w:val="00E64D53"/>
    <w:rsid w:val="00E65296"/>
    <w:rsid w:val="00E6679A"/>
    <w:rsid w:val="00E6724C"/>
    <w:rsid w:val="00E67524"/>
    <w:rsid w:val="00E67593"/>
    <w:rsid w:val="00E67B26"/>
    <w:rsid w:val="00E67BBA"/>
    <w:rsid w:val="00E709CF"/>
    <w:rsid w:val="00E715B6"/>
    <w:rsid w:val="00E73241"/>
    <w:rsid w:val="00E75569"/>
    <w:rsid w:val="00E75E49"/>
    <w:rsid w:val="00E7679D"/>
    <w:rsid w:val="00E8113C"/>
    <w:rsid w:val="00E81B4B"/>
    <w:rsid w:val="00E834B3"/>
    <w:rsid w:val="00E844ED"/>
    <w:rsid w:val="00E84908"/>
    <w:rsid w:val="00E853E9"/>
    <w:rsid w:val="00E86037"/>
    <w:rsid w:val="00E86461"/>
    <w:rsid w:val="00E8751D"/>
    <w:rsid w:val="00E92562"/>
    <w:rsid w:val="00E92FAF"/>
    <w:rsid w:val="00E93A2F"/>
    <w:rsid w:val="00E93CD5"/>
    <w:rsid w:val="00E940AC"/>
    <w:rsid w:val="00E941A1"/>
    <w:rsid w:val="00E94A44"/>
    <w:rsid w:val="00E94B5A"/>
    <w:rsid w:val="00E94E39"/>
    <w:rsid w:val="00E9578A"/>
    <w:rsid w:val="00E96504"/>
    <w:rsid w:val="00E97155"/>
    <w:rsid w:val="00E97538"/>
    <w:rsid w:val="00E97DDF"/>
    <w:rsid w:val="00E97E34"/>
    <w:rsid w:val="00E97F41"/>
    <w:rsid w:val="00EA0D4C"/>
    <w:rsid w:val="00EA39D1"/>
    <w:rsid w:val="00EA3B07"/>
    <w:rsid w:val="00EA5622"/>
    <w:rsid w:val="00EA5F24"/>
    <w:rsid w:val="00EA6670"/>
    <w:rsid w:val="00EA69CA"/>
    <w:rsid w:val="00EB2B02"/>
    <w:rsid w:val="00EB3038"/>
    <w:rsid w:val="00EB3A34"/>
    <w:rsid w:val="00EB3B03"/>
    <w:rsid w:val="00EB4463"/>
    <w:rsid w:val="00EB46AE"/>
    <w:rsid w:val="00EB4B03"/>
    <w:rsid w:val="00EB6086"/>
    <w:rsid w:val="00EB6568"/>
    <w:rsid w:val="00EB73BB"/>
    <w:rsid w:val="00EB7471"/>
    <w:rsid w:val="00EB77DF"/>
    <w:rsid w:val="00EC08B7"/>
    <w:rsid w:val="00EC0F66"/>
    <w:rsid w:val="00EC1822"/>
    <w:rsid w:val="00EC2DBF"/>
    <w:rsid w:val="00EC3307"/>
    <w:rsid w:val="00EC3A28"/>
    <w:rsid w:val="00EC4E23"/>
    <w:rsid w:val="00EC50B4"/>
    <w:rsid w:val="00EC6515"/>
    <w:rsid w:val="00EC6D88"/>
    <w:rsid w:val="00EC74E9"/>
    <w:rsid w:val="00EC7723"/>
    <w:rsid w:val="00EC7DDD"/>
    <w:rsid w:val="00ED0034"/>
    <w:rsid w:val="00ED2050"/>
    <w:rsid w:val="00ED6FF3"/>
    <w:rsid w:val="00ED70AB"/>
    <w:rsid w:val="00EE18DA"/>
    <w:rsid w:val="00EE3741"/>
    <w:rsid w:val="00EE55D6"/>
    <w:rsid w:val="00EE5BFC"/>
    <w:rsid w:val="00EE6703"/>
    <w:rsid w:val="00EE6DF3"/>
    <w:rsid w:val="00EF06D5"/>
    <w:rsid w:val="00EF11F7"/>
    <w:rsid w:val="00EF1C41"/>
    <w:rsid w:val="00EF36C1"/>
    <w:rsid w:val="00EF394F"/>
    <w:rsid w:val="00EF411A"/>
    <w:rsid w:val="00EF5108"/>
    <w:rsid w:val="00EF5756"/>
    <w:rsid w:val="00EF584D"/>
    <w:rsid w:val="00F02059"/>
    <w:rsid w:val="00F0298B"/>
    <w:rsid w:val="00F04F6A"/>
    <w:rsid w:val="00F11724"/>
    <w:rsid w:val="00F119E0"/>
    <w:rsid w:val="00F1240A"/>
    <w:rsid w:val="00F12677"/>
    <w:rsid w:val="00F131F0"/>
    <w:rsid w:val="00F14952"/>
    <w:rsid w:val="00F16019"/>
    <w:rsid w:val="00F16919"/>
    <w:rsid w:val="00F16E32"/>
    <w:rsid w:val="00F176BA"/>
    <w:rsid w:val="00F1796A"/>
    <w:rsid w:val="00F20ABE"/>
    <w:rsid w:val="00F21904"/>
    <w:rsid w:val="00F21F83"/>
    <w:rsid w:val="00F22BDC"/>
    <w:rsid w:val="00F2405C"/>
    <w:rsid w:val="00F2482A"/>
    <w:rsid w:val="00F24B54"/>
    <w:rsid w:val="00F258D9"/>
    <w:rsid w:val="00F25A9E"/>
    <w:rsid w:val="00F260E9"/>
    <w:rsid w:val="00F26E81"/>
    <w:rsid w:val="00F270B7"/>
    <w:rsid w:val="00F27A34"/>
    <w:rsid w:val="00F31E35"/>
    <w:rsid w:val="00F33480"/>
    <w:rsid w:val="00F33779"/>
    <w:rsid w:val="00F337CB"/>
    <w:rsid w:val="00F33EAC"/>
    <w:rsid w:val="00F33EB6"/>
    <w:rsid w:val="00F37459"/>
    <w:rsid w:val="00F40F7C"/>
    <w:rsid w:val="00F41EA0"/>
    <w:rsid w:val="00F44035"/>
    <w:rsid w:val="00F44559"/>
    <w:rsid w:val="00F45503"/>
    <w:rsid w:val="00F45B0B"/>
    <w:rsid w:val="00F45B33"/>
    <w:rsid w:val="00F4669B"/>
    <w:rsid w:val="00F46E9A"/>
    <w:rsid w:val="00F4785E"/>
    <w:rsid w:val="00F53936"/>
    <w:rsid w:val="00F53CD5"/>
    <w:rsid w:val="00F5414C"/>
    <w:rsid w:val="00F561F3"/>
    <w:rsid w:val="00F56339"/>
    <w:rsid w:val="00F62FC8"/>
    <w:rsid w:val="00F639C6"/>
    <w:rsid w:val="00F654AB"/>
    <w:rsid w:val="00F658F3"/>
    <w:rsid w:val="00F65BF2"/>
    <w:rsid w:val="00F668C9"/>
    <w:rsid w:val="00F6782F"/>
    <w:rsid w:val="00F71506"/>
    <w:rsid w:val="00F71591"/>
    <w:rsid w:val="00F729D0"/>
    <w:rsid w:val="00F7359B"/>
    <w:rsid w:val="00F74144"/>
    <w:rsid w:val="00F7559B"/>
    <w:rsid w:val="00F7748E"/>
    <w:rsid w:val="00F77683"/>
    <w:rsid w:val="00F77A3C"/>
    <w:rsid w:val="00F8016B"/>
    <w:rsid w:val="00F80C35"/>
    <w:rsid w:val="00F80F20"/>
    <w:rsid w:val="00F83DC3"/>
    <w:rsid w:val="00F83F2A"/>
    <w:rsid w:val="00F85DF2"/>
    <w:rsid w:val="00F91978"/>
    <w:rsid w:val="00F923E1"/>
    <w:rsid w:val="00F93C23"/>
    <w:rsid w:val="00F94119"/>
    <w:rsid w:val="00F95AF0"/>
    <w:rsid w:val="00F9676F"/>
    <w:rsid w:val="00FA1602"/>
    <w:rsid w:val="00FA3244"/>
    <w:rsid w:val="00FA346D"/>
    <w:rsid w:val="00FA3681"/>
    <w:rsid w:val="00FA5BE6"/>
    <w:rsid w:val="00FA6D2F"/>
    <w:rsid w:val="00FA7FED"/>
    <w:rsid w:val="00FB3FFF"/>
    <w:rsid w:val="00FB5062"/>
    <w:rsid w:val="00FB5806"/>
    <w:rsid w:val="00FB67EC"/>
    <w:rsid w:val="00FB6B61"/>
    <w:rsid w:val="00FB6C90"/>
    <w:rsid w:val="00FB7BD1"/>
    <w:rsid w:val="00FC0421"/>
    <w:rsid w:val="00FC30E9"/>
    <w:rsid w:val="00FC623F"/>
    <w:rsid w:val="00FC68C5"/>
    <w:rsid w:val="00FC76E9"/>
    <w:rsid w:val="00FC79D1"/>
    <w:rsid w:val="00FC7A4B"/>
    <w:rsid w:val="00FC7F67"/>
    <w:rsid w:val="00FD21E7"/>
    <w:rsid w:val="00FD5194"/>
    <w:rsid w:val="00FD5622"/>
    <w:rsid w:val="00FD7469"/>
    <w:rsid w:val="00FE0A68"/>
    <w:rsid w:val="00FE1B68"/>
    <w:rsid w:val="00FE2FF5"/>
    <w:rsid w:val="00FE303D"/>
    <w:rsid w:val="00FE334E"/>
    <w:rsid w:val="00FE36D7"/>
    <w:rsid w:val="00FE3976"/>
    <w:rsid w:val="00FE3E7C"/>
    <w:rsid w:val="00FE44A8"/>
    <w:rsid w:val="00FE4BA1"/>
    <w:rsid w:val="00FE4C4C"/>
    <w:rsid w:val="00FE4E0D"/>
    <w:rsid w:val="00FE594F"/>
    <w:rsid w:val="00FE59C6"/>
    <w:rsid w:val="00FE61EF"/>
    <w:rsid w:val="00FE70F6"/>
    <w:rsid w:val="00FE7996"/>
    <w:rsid w:val="00FF2EDB"/>
    <w:rsid w:val="00FF467F"/>
    <w:rsid w:val="00FF5036"/>
    <w:rsid w:val="00FF5BEC"/>
    <w:rsid w:val="00FF6904"/>
    <w:rsid w:val="00FF6B04"/>
    <w:rsid w:val="00FF6E4B"/>
    <w:rsid w:val="02310237"/>
    <w:rsid w:val="0351DC2B"/>
    <w:rsid w:val="0827DA7C"/>
    <w:rsid w:val="088D18CC"/>
    <w:rsid w:val="0E132584"/>
    <w:rsid w:val="0E48DFC6"/>
    <w:rsid w:val="0E971C00"/>
    <w:rsid w:val="145726E3"/>
    <w:rsid w:val="16A78E3D"/>
    <w:rsid w:val="17C875F0"/>
    <w:rsid w:val="1C50399E"/>
    <w:rsid w:val="1DFC271D"/>
    <w:rsid w:val="2277B845"/>
    <w:rsid w:val="295447B1"/>
    <w:rsid w:val="2B7A87FB"/>
    <w:rsid w:val="2BB1059F"/>
    <w:rsid w:val="2EA518FC"/>
    <w:rsid w:val="2F36ABF3"/>
    <w:rsid w:val="31BA2550"/>
    <w:rsid w:val="31D0A122"/>
    <w:rsid w:val="31DC87BC"/>
    <w:rsid w:val="328BB650"/>
    <w:rsid w:val="3734431B"/>
    <w:rsid w:val="3B3F67D3"/>
    <w:rsid w:val="3C2727B2"/>
    <w:rsid w:val="3FA059EF"/>
    <w:rsid w:val="4052E211"/>
    <w:rsid w:val="413C2A50"/>
    <w:rsid w:val="448C18C6"/>
    <w:rsid w:val="44B785F1"/>
    <w:rsid w:val="4BF262BE"/>
    <w:rsid w:val="4CB80AB5"/>
    <w:rsid w:val="4D8B722E"/>
    <w:rsid w:val="4F00E982"/>
    <w:rsid w:val="50613B1E"/>
    <w:rsid w:val="506905DB"/>
    <w:rsid w:val="52F60C01"/>
    <w:rsid w:val="53AB03FE"/>
    <w:rsid w:val="55F21CBA"/>
    <w:rsid w:val="58305CE1"/>
    <w:rsid w:val="594D8366"/>
    <w:rsid w:val="5AEA82B7"/>
    <w:rsid w:val="5BB0323C"/>
    <w:rsid w:val="5BB73AF8"/>
    <w:rsid w:val="5C1785D5"/>
    <w:rsid w:val="5D1D06CB"/>
    <w:rsid w:val="5E1A63B1"/>
    <w:rsid w:val="5E222379"/>
    <w:rsid w:val="5F5962A5"/>
    <w:rsid w:val="61434869"/>
    <w:rsid w:val="6229D2E0"/>
    <w:rsid w:val="62F5949C"/>
    <w:rsid w:val="63BD4E1C"/>
    <w:rsid w:val="6490B9F2"/>
    <w:rsid w:val="65591E7D"/>
    <w:rsid w:val="65E98068"/>
    <w:rsid w:val="662D355E"/>
    <w:rsid w:val="6AAF627F"/>
    <w:rsid w:val="6AC7B406"/>
    <w:rsid w:val="6F116A1C"/>
    <w:rsid w:val="70AEB23A"/>
    <w:rsid w:val="7AA46DD0"/>
    <w:rsid w:val="7B133666"/>
    <w:rsid w:val="7B1D4E00"/>
    <w:rsid w:val="7B4761BD"/>
    <w:rsid w:val="7C8FF5B0"/>
    <w:rsid w:val="7D4E99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30449A"/>
  <w15:docId w15:val="{CF798419-86A1-41BA-B99A-AD7F83A0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8DD"/>
    <w:pPr>
      <w:tabs>
        <w:tab w:val="left" w:pos="397"/>
        <w:tab w:val="left" w:pos="794"/>
        <w:tab w:val="left" w:pos="1191"/>
        <w:tab w:val="left" w:pos="1588"/>
        <w:tab w:val="left" w:pos="1985"/>
      </w:tabs>
      <w:spacing w:after="240"/>
      <w:jc w:val="both"/>
    </w:pPr>
    <w:rPr>
      <w:rFonts w:ascii="Arial" w:hAnsi="Arial"/>
      <w:color w:val="000000"/>
      <w:spacing w:val="-2"/>
      <w:kern w:val="20"/>
      <w:lang w:eastAsia="en-US"/>
    </w:rPr>
  </w:style>
  <w:style w:type="paragraph" w:styleId="Heading1">
    <w:name w:val="heading 1"/>
    <w:basedOn w:val="Normal"/>
    <w:next w:val="Normal"/>
    <w:link w:val="Heading1Char"/>
    <w:qFormat/>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left"/>
      <w:outlineLvl w:val="0"/>
    </w:pPr>
    <w:rPr>
      <w:b/>
      <w:lang w:val="en-US"/>
    </w:rPr>
  </w:style>
  <w:style w:type="paragraph" w:styleId="Heading2">
    <w:name w:val="heading 2"/>
    <w:basedOn w:val="Normal"/>
    <w:next w:val="Normal"/>
    <w:qFormat/>
    <w:pPr>
      <w:keepNext/>
      <w:widowControl w:val="0"/>
      <w:tabs>
        <w:tab w:val="left" w:pos="567"/>
        <w:tab w:val="left" w:pos="851"/>
        <w:tab w:val="left" w:pos="1134"/>
        <w:tab w:val="left" w:pos="1418"/>
        <w:tab w:val="left" w:pos="1701"/>
        <w:tab w:val="right" w:pos="9639"/>
      </w:tabs>
      <w:spacing w:before="40" w:after="40"/>
      <w:jc w:val="center"/>
      <w:outlineLvl w:val="1"/>
    </w:pPr>
    <w:rPr>
      <w:b/>
      <w:snapToGrid w:val="0"/>
    </w:rPr>
  </w:style>
  <w:style w:type="paragraph" w:styleId="Heading3">
    <w:name w:val="heading 3"/>
    <w:basedOn w:val="Normal"/>
    <w:next w:val="Normal"/>
    <w:qFormat/>
    <w:pPr>
      <w:keepNext/>
      <w:widowControl w:val="0"/>
      <w:spacing w:before="40" w:after="40"/>
      <w:jc w:val="left"/>
      <w:outlineLvl w:val="2"/>
    </w:pPr>
    <w:rPr>
      <w:i/>
      <w:snapToGrid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082CE3"/>
    <w:pPr>
      <w:spacing w:before="100" w:after="0"/>
    </w:pPr>
    <w:rPr>
      <w:i/>
      <w:kern w:val="16"/>
      <w:sz w:val="16"/>
      <w:szCs w:val="16"/>
    </w:rPr>
  </w:style>
  <w:style w:type="character" w:styleId="FootnoteReference">
    <w:name w:val="footnote reference"/>
    <w:basedOn w:val="DefaultParagraphFont"/>
    <w:semiHidden/>
    <w:rsid w:val="00635493"/>
    <w:rPr>
      <w:vertAlign w:val="superscript"/>
    </w:rPr>
  </w:style>
  <w:style w:type="character" w:customStyle="1" w:styleId="Hd6Char">
    <w:name w:val="Hd6 Char"/>
    <w:basedOn w:val="DefaultParagraphFont"/>
    <w:link w:val="Hd6"/>
    <w:rsid w:val="00CC5C5B"/>
    <w:rPr>
      <w:rFonts w:ascii="Univers" w:hAnsi="Univers"/>
      <w:color w:val="000000"/>
      <w:spacing w:val="-2"/>
      <w:kern w:val="20"/>
      <w:u w:val="single"/>
      <w:lang w:val="en-GB" w:eastAsia="en-US" w:bidi="ar-SA"/>
    </w:rPr>
  </w:style>
  <w:style w:type="paragraph" w:customStyle="1" w:styleId="Hd6">
    <w:name w:val="Hd6"/>
    <w:basedOn w:val="Normal"/>
    <w:next w:val="Normal"/>
    <w:link w:val="Hd6Char"/>
    <w:pPr>
      <w:keepNext/>
      <w:keepLines/>
      <w:widowControl w:val="0"/>
      <w:suppressAutoHyphens/>
      <w:jc w:val="center"/>
    </w:pPr>
    <w:rPr>
      <w:rFonts w:ascii="Univers" w:hAnsi="Univers"/>
      <w:u w:val="single"/>
    </w:rPr>
  </w:style>
  <w:style w:type="paragraph" w:customStyle="1" w:styleId="Hd0">
    <w:name w:val="Hd0"/>
    <w:basedOn w:val="Normal"/>
    <w:next w:val="Normal"/>
    <w:rsid w:val="00B210EE"/>
    <w:pPr>
      <w:keepNext/>
      <w:keepLines/>
      <w:widowControl w:val="0"/>
      <w:suppressAutoHyphens/>
      <w:jc w:val="left"/>
    </w:pPr>
    <w:rPr>
      <w:u w:val="single" w:color="000000"/>
    </w:rPr>
  </w:style>
  <w:style w:type="paragraph" w:customStyle="1" w:styleId="Hd1">
    <w:name w:val="Hd1"/>
    <w:basedOn w:val="Hd0"/>
    <w:next w:val="Normal"/>
    <w:rsid w:val="005D28CE"/>
    <w:pPr>
      <w:ind w:left="397"/>
    </w:pPr>
  </w:style>
  <w:style w:type="paragraph" w:customStyle="1" w:styleId="Hd2">
    <w:name w:val="Hd2"/>
    <w:basedOn w:val="Hd0"/>
    <w:next w:val="Normal"/>
    <w:rsid w:val="005D28CE"/>
    <w:pPr>
      <w:ind w:left="794"/>
    </w:pPr>
  </w:style>
  <w:style w:type="paragraph" w:customStyle="1" w:styleId="Hd3">
    <w:name w:val="Hd3"/>
    <w:basedOn w:val="Hd0"/>
    <w:next w:val="Normal"/>
    <w:rsid w:val="005D28CE"/>
    <w:pPr>
      <w:ind w:left="1191"/>
    </w:pPr>
  </w:style>
  <w:style w:type="paragraph" w:customStyle="1" w:styleId="Hd4">
    <w:name w:val="Hd4"/>
    <w:basedOn w:val="Hd0"/>
    <w:next w:val="Normal"/>
    <w:rsid w:val="005D28CE"/>
    <w:pPr>
      <w:ind w:left="1588"/>
    </w:pPr>
  </w:style>
  <w:style w:type="paragraph" w:customStyle="1" w:styleId="Hd5">
    <w:name w:val="Hd5"/>
    <w:basedOn w:val="Hd0"/>
    <w:next w:val="Normal"/>
    <w:rsid w:val="005D28CE"/>
    <w:pPr>
      <w:ind w:left="1985"/>
    </w:pPr>
  </w:style>
  <w:style w:type="paragraph" w:styleId="Footer">
    <w:name w:val="footer"/>
    <w:basedOn w:val="Normal"/>
    <w:next w:val="Normal"/>
    <w:rsid w:val="00011797"/>
    <w:pPr>
      <w:tabs>
        <w:tab w:val="clear" w:pos="397"/>
        <w:tab w:val="clear" w:pos="794"/>
        <w:tab w:val="clear" w:pos="1191"/>
        <w:tab w:val="clear" w:pos="1588"/>
        <w:tab w:val="clear" w:pos="1985"/>
      </w:tabs>
      <w:spacing w:after="0"/>
      <w:jc w:val="center"/>
    </w:pPr>
  </w:style>
  <w:style w:type="paragraph" w:styleId="Header">
    <w:name w:val="header"/>
    <w:basedOn w:val="Normal"/>
    <w:next w:val="Normal"/>
    <w:rsid w:val="00A751F5"/>
    <w:pPr>
      <w:tabs>
        <w:tab w:val="clear" w:pos="397"/>
        <w:tab w:val="clear" w:pos="794"/>
        <w:tab w:val="clear" w:pos="1191"/>
        <w:tab w:val="clear" w:pos="1588"/>
        <w:tab w:val="clear" w:pos="1985"/>
      </w:tabs>
      <w:spacing w:after="0"/>
      <w:jc w:val="center"/>
    </w:pPr>
  </w:style>
  <w:style w:type="character" w:styleId="PageNumber">
    <w:name w:val="page number"/>
    <w:basedOn w:val="DefaultParagraphFont"/>
    <w:rsid w:val="00011797"/>
    <w:rPr>
      <w:rFonts w:ascii="Univers" w:hAnsi="Univers"/>
      <w:color w:val="000000"/>
      <w:spacing w:val="-2"/>
      <w:w w:val="100"/>
      <w:kern w:val="20"/>
      <w:position w:val="0"/>
      <w:sz w:val="20"/>
      <w:szCs w:val="20"/>
      <w:u w:val="none"/>
    </w:rPr>
  </w:style>
  <w:style w:type="paragraph" w:customStyle="1" w:styleId="Hd7">
    <w:name w:val="Hd7"/>
    <w:basedOn w:val="Normal"/>
    <w:next w:val="Normal"/>
    <w:rsid w:val="005D28CE"/>
    <w:pPr>
      <w:keepNext/>
      <w:keepLines/>
      <w:widowControl w:val="0"/>
      <w:suppressAutoHyphens/>
      <w:jc w:val="center"/>
    </w:pPr>
    <w:rPr>
      <w:rFonts w:ascii="Univers" w:hAnsi="Univers"/>
      <w:caps/>
    </w:rPr>
  </w:style>
  <w:style w:type="paragraph" w:customStyle="1" w:styleId="Title-end">
    <w:name w:val="Title-end"/>
    <w:basedOn w:val="Normal"/>
    <w:next w:val="Normal"/>
    <w:link w:val="Title-endChar"/>
    <w:rsid w:val="00B554BF"/>
    <w:pPr>
      <w:keepNext/>
      <w:keepLines/>
      <w:widowControl w:val="0"/>
      <w:suppressAutoHyphens/>
      <w:spacing w:after="480"/>
      <w:jc w:val="center"/>
      <w:outlineLvl w:val="1"/>
    </w:pPr>
    <w:rPr>
      <w:caps/>
    </w:rPr>
  </w:style>
  <w:style w:type="paragraph" w:customStyle="1" w:styleId="Title-start">
    <w:name w:val="Title-start"/>
    <w:basedOn w:val="Normal"/>
    <w:next w:val="Title-end"/>
    <w:rsid w:val="00294894"/>
    <w:pPr>
      <w:keepNext/>
      <w:keepLines/>
      <w:widowControl w:val="0"/>
      <w:suppressAutoHyphens/>
      <w:jc w:val="center"/>
      <w:outlineLvl w:val="0"/>
    </w:pPr>
    <w:rPr>
      <w:u w:val="single" w:color="000000"/>
    </w:rPr>
  </w:style>
  <w:style w:type="paragraph" w:styleId="BalloonText">
    <w:name w:val="Balloon Text"/>
    <w:basedOn w:val="Normal"/>
    <w:semiHidden/>
    <w:rPr>
      <w:rFonts w:ascii="Tahoma" w:hAnsi="Tahoma" w:cs="Tahoma"/>
      <w:sz w:val="16"/>
      <w:szCs w:val="16"/>
    </w:rPr>
  </w:style>
  <w:style w:type="paragraph" w:customStyle="1" w:styleId="No">
    <w:name w:val="No"/>
    <w:basedOn w:val="Normal"/>
    <w:next w:val="Normal"/>
    <w:rsid w:val="00913322"/>
    <w:pPr>
      <w:tabs>
        <w:tab w:val="clear" w:pos="397"/>
        <w:tab w:val="clear" w:pos="794"/>
        <w:tab w:val="clear" w:pos="1191"/>
        <w:tab w:val="clear" w:pos="1588"/>
        <w:tab w:val="clear" w:pos="1985"/>
      </w:tabs>
      <w:spacing w:after="480"/>
      <w:jc w:val="right"/>
    </w:pPr>
  </w:style>
  <w:style w:type="paragraph" w:customStyle="1" w:styleId="Venue">
    <w:name w:val="Venue"/>
    <w:basedOn w:val="Normal"/>
    <w:next w:val="Normal"/>
    <w:rsid w:val="00913322"/>
    <w:pPr>
      <w:tabs>
        <w:tab w:val="clear" w:pos="397"/>
        <w:tab w:val="clear" w:pos="794"/>
        <w:tab w:val="clear" w:pos="1191"/>
        <w:tab w:val="clear" w:pos="1588"/>
        <w:tab w:val="clear" w:pos="1985"/>
      </w:tabs>
      <w:spacing w:after="480"/>
      <w:jc w:val="center"/>
    </w:pPr>
  </w:style>
  <w:style w:type="paragraph" w:customStyle="1" w:styleId="hg1">
    <w:name w:val="hg1"/>
    <w:basedOn w:val="Normal"/>
    <w:next w:val="Normal"/>
    <w:rsid w:val="006664C2"/>
    <w:pPr>
      <w:ind w:left="397" w:hanging="397"/>
    </w:pPr>
  </w:style>
  <w:style w:type="paragraph" w:customStyle="1" w:styleId="hg2">
    <w:name w:val="hg2"/>
    <w:basedOn w:val="Normal"/>
    <w:next w:val="Normal"/>
    <w:rsid w:val="006664C2"/>
    <w:pPr>
      <w:ind w:left="794" w:hanging="794"/>
    </w:pPr>
  </w:style>
  <w:style w:type="paragraph" w:customStyle="1" w:styleId="hg3">
    <w:name w:val="hg3"/>
    <w:basedOn w:val="Normal"/>
    <w:next w:val="Normal"/>
    <w:rsid w:val="006664C2"/>
    <w:pPr>
      <w:ind w:left="1191" w:hanging="1191"/>
    </w:pPr>
  </w:style>
  <w:style w:type="paragraph" w:customStyle="1" w:styleId="hg4">
    <w:name w:val="hg4"/>
    <w:basedOn w:val="Normal"/>
    <w:next w:val="Normal"/>
    <w:rsid w:val="006664C2"/>
    <w:pPr>
      <w:ind w:left="1588" w:hanging="1588"/>
    </w:pPr>
  </w:style>
  <w:style w:type="paragraph" w:customStyle="1" w:styleId="hg5">
    <w:name w:val="hg5"/>
    <w:basedOn w:val="Normal"/>
    <w:next w:val="Normal"/>
    <w:rsid w:val="006664C2"/>
    <w:pPr>
      <w:ind w:left="1985" w:hanging="1985"/>
    </w:pPr>
  </w:style>
  <w:style w:type="character" w:customStyle="1" w:styleId="Strike">
    <w:name w:val="Strike"/>
    <w:basedOn w:val="DefaultParagraphFont"/>
    <w:rsid w:val="00DE1CFD"/>
    <w:rPr>
      <w:strike/>
      <w:dstrike w:val="0"/>
      <w:color w:val="000000"/>
    </w:rPr>
  </w:style>
  <w:style w:type="character" w:customStyle="1" w:styleId="Title-endChar">
    <w:name w:val="Title-end Char"/>
    <w:basedOn w:val="DefaultParagraphFont"/>
    <w:link w:val="Title-end"/>
    <w:rsid w:val="00B554BF"/>
    <w:rPr>
      <w:rFonts w:ascii="Arial" w:hAnsi="Arial"/>
      <w:caps/>
      <w:color w:val="000000"/>
      <w:spacing w:val="-2"/>
      <w:kern w:val="20"/>
      <w:lang w:eastAsia="en-US"/>
    </w:rPr>
  </w:style>
  <w:style w:type="paragraph" w:styleId="ListParagraph">
    <w:name w:val="List Paragraph"/>
    <w:basedOn w:val="Normal"/>
    <w:uiPriority w:val="34"/>
    <w:qFormat/>
    <w:rsid w:val="00E362F8"/>
    <w:pPr>
      <w:tabs>
        <w:tab w:val="clear" w:pos="397"/>
        <w:tab w:val="clear" w:pos="794"/>
        <w:tab w:val="clear" w:pos="1191"/>
        <w:tab w:val="clear" w:pos="1588"/>
        <w:tab w:val="clear" w:pos="1985"/>
      </w:tabs>
      <w:spacing w:after="0"/>
      <w:ind w:left="720"/>
      <w:contextualSpacing/>
      <w:jc w:val="left"/>
    </w:pPr>
    <w:rPr>
      <w:rFonts w:asciiTheme="minorHAnsi" w:eastAsiaTheme="minorEastAsia" w:hAnsiTheme="minorHAnsi" w:cstheme="minorBidi"/>
      <w:color w:val="auto"/>
      <w:spacing w:val="0"/>
      <w:kern w:val="0"/>
      <w:sz w:val="24"/>
      <w:szCs w:val="24"/>
      <w:lang w:val="en-US"/>
    </w:rPr>
  </w:style>
  <w:style w:type="character" w:styleId="Hyperlink">
    <w:name w:val="Hyperlink"/>
    <w:basedOn w:val="DefaultParagraphFont"/>
    <w:uiPriority w:val="99"/>
    <w:unhideWhenUsed/>
    <w:rsid w:val="00E362F8"/>
    <w:rPr>
      <w:color w:val="0000FF" w:themeColor="hyperlink"/>
      <w:u w:val="single"/>
    </w:rPr>
  </w:style>
  <w:style w:type="character" w:customStyle="1" w:styleId="FootnoteTextChar">
    <w:name w:val="Footnote Text Char"/>
    <w:basedOn w:val="DefaultParagraphFont"/>
    <w:link w:val="FootnoteText"/>
    <w:semiHidden/>
    <w:rsid w:val="00E362F8"/>
    <w:rPr>
      <w:rFonts w:ascii="Arial" w:hAnsi="Arial"/>
      <w:i/>
      <w:color w:val="000000"/>
      <w:spacing w:val="-2"/>
      <w:kern w:val="16"/>
      <w:sz w:val="16"/>
      <w:szCs w:val="16"/>
      <w:lang w:eastAsia="en-US"/>
    </w:rPr>
  </w:style>
  <w:style w:type="character" w:styleId="CommentReference">
    <w:name w:val="annotation reference"/>
    <w:basedOn w:val="DefaultParagraphFont"/>
    <w:uiPriority w:val="99"/>
    <w:semiHidden/>
    <w:unhideWhenUsed/>
    <w:rsid w:val="00F21F83"/>
    <w:rPr>
      <w:sz w:val="16"/>
      <w:szCs w:val="16"/>
    </w:rPr>
  </w:style>
  <w:style w:type="paragraph" w:styleId="CommentText">
    <w:name w:val="annotation text"/>
    <w:basedOn w:val="Normal"/>
    <w:link w:val="CommentTextChar"/>
    <w:uiPriority w:val="99"/>
    <w:semiHidden/>
    <w:unhideWhenUsed/>
    <w:rsid w:val="00F21F83"/>
  </w:style>
  <w:style w:type="character" w:customStyle="1" w:styleId="CommentTextChar">
    <w:name w:val="Comment Text Char"/>
    <w:basedOn w:val="DefaultParagraphFont"/>
    <w:link w:val="CommentText"/>
    <w:uiPriority w:val="99"/>
    <w:semiHidden/>
    <w:rsid w:val="00F21F83"/>
    <w:rPr>
      <w:rFonts w:ascii="Arial" w:hAnsi="Arial"/>
      <w:color w:val="000000"/>
      <w:spacing w:val="-2"/>
      <w:kern w:val="20"/>
      <w:lang w:eastAsia="en-US"/>
    </w:rPr>
  </w:style>
  <w:style w:type="paragraph" w:styleId="CommentSubject">
    <w:name w:val="annotation subject"/>
    <w:basedOn w:val="CommentText"/>
    <w:next w:val="CommentText"/>
    <w:link w:val="CommentSubjectChar"/>
    <w:uiPriority w:val="99"/>
    <w:semiHidden/>
    <w:unhideWhenUsed/>
    <w:rsid w:val="00F21F83"/>
    <w:rPr>
      <w:b/>
      <w:bCs/>
    </w:rPr>
  </w:style>
  <w:style w:type="character" w:customStyle="1" w:styleId="CommentSubjectChar">
    <w:name w:val="Comment Subject Char"/>
    <w:basedOn w:val="CommentTextChar"/>
    <w:link w:val="CommentSubject"/>
    <w:uiPriority w:val="99"/>
    <w:semiHidden/>
    <w:rsid w:val="00F21F83"/>
    <w:rPr>
      <w:rFonts w:ascii="Arial" w:hAnsi="Arial"/>
      <w:b/>
      <w:bCs/>
      <w:color w:val="000000"/>
      <w:spacing w:val="-2"/>
      <w:kern w:val="20"/>
      <w:lang w:eastAsia="en-US"/>
    </w:rPr>
  </w:style>
  <w:style w:type="paragraph" w:styleId="Revision">
    <w:name w:val="Revision"/>
    <w:hidden/>
    <w:uiPriority w:val="99"/>
    <w:semiHidden/>
    <w:rsid w:val="00CD0F85"/>
    <w:rPr>
      <w:rFonts w:ascii="Arial" w:hAnsi="Arial"/>
      <w:color w:val="000000"/>
      <w:spacing w:val="-2"/>
      <w:kern w:val="20"/>
      <w:lang w:eastAsia="en-US"/>
    </w:rPr>
  </w:style>
  <w:style w:type="character" w:customStyle="1" w:styleId="ui-provider">
    <w:name w:val="ui-provider"/>
    <w:basedOn w:val="DefaultParagraphFont"/>
    <w:rsid w:val="001F445C"/>
  </w:style>
  <w:style w:type="paragraph" w:customStyle="1" w:styleId="Default">
    <w:name w:val="Default"/>
    <w:rsid w:val="00314362"/>
    <w:pPr>
      <w:widowControl w:val="0"/>
      <w:autoSpaceDE w:val="0"/>
      <w:autoSpaceDN w:val="0"/>
      <w:adjustRightInd w:val="0"/>
    </w:pPr>
    <w:rPr>
      <w:rFonts w:ascii="Arial" w:eastAsiaTheme="minorEastAsia" w:hAnsi="Arial" w:cs="Arial"/>
      <w:color w:val="000000"/>
      <w:sz w:val="24"/>
      <w:szCs w:val="24"/>
      <w:lang w:val="en-US"/>
    </w:rPr>
  </w:style>
  <w:style w:type="table" w:styleId="TableGrid">
    <w:name w:val="Table Grid"/>
    <w:basedOn w:val="TableNormal"/>
    <w:uiPriority w:val="59"/>
    <w:rsid w:val="00626F9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638A"/>
    <w:rPr>
      <w:rFonts w:ascii="Arial" w:hAnsi="Arial"/>
      <w:b/>
      <w:color w:val="000000"/>
      <w:spacing w:val="-2"/>
      <w:kern w:val="20"/>
      <w:lang w:val="en-US" w:eastAsia="en-US"/>
    </w:rPr>
  </w:style>
  <w:style w:type="table" w:customStyle="1" w:styleId="TableGrid1">
    <w:name w:val="Table Grid1"/>
    <w:rsid w:val="007A638A"/>
    <w:rPr>
      <w:rFonts w:asciiTheme="minorHAnsi" w:eastAsiaTheme="minorEastAsia" w:hAnsiTheme="minorHAnsi" w:cstheme="minorBidi"/>
      <w:sz w:val="22"/>
      <w:szCs w:val="22"/>
      <w:lang w:val="fr-CH" w:eastAsia="fr-CH"/>
    </w:rPr>
    <w:tblPr>
      <w:tblCellMar>
        <w:top w:w="0" w:type="dxa"/>
        <w:left w:w="0" w:type="dxa"/>
        <w:bottom w:w="0" w:type="dxa"/>
        <w:right w:w="0" w:type="dxa"/>
      </w:tblCellMar>
    </w:tblPr>
  </w:style>
  <w:style w:type="table" w:customStyle="1" w:styleId="TableGrid2">
    <w:name w:val="Table Grid2"/>
    <w:basedOn w:val="TableNormal"/>
    <w:next w:val="TableGrid"/>
    <w:uiPriority w:val="39"/>
    <w:rsid w:val="0085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95A3F"/>
    <w:rPr>
      <w:color w:val="605E5C"/>
      <w:shd w:val="clear" w:color="auto" w:fill="E1DFDD"/>
    </w:rPr>
  </w:style>
  <w:style w:type="paragraph" w:styleId="NoSpacing">
    <w:name w:val="No Spacing"/>
    <w:uiPriority w:val="1"/>
    <w:qFormat/>
    <w:rsid w:val="00781108"/>
    <w:pPr>
      <w:tabs>
        <w:tab w:val="left" w:pos="397"/>
        <w:tab w:val="left" w:pos="794"/>
        <w:tab w:val="left" w:pos="1191"/>
        <w:tab w:val="left" w:pos="1588"/>
        <w:tab w:val="left" w:pos="1985"/>
      </w:tabs>
      <w:jc w:val="both"/>
    </w:pPr>
    <w:rPr>
      <w:rFonts w:ascii="Arial" w:hAnsi="Arial"/>
      <w:color w:val="000000"/>
      <w:spacing w:val="-2"/>
      <w:kern w:val="20"/>
      <w:lang w:eastAsia="en-US"/>
    </w:rPr>
  </w:style>
  <w:style w:type="character" w:styleId="FollowedHyperlink">
    <w:name w:val="FollowedHyperlink"/>
    <w:basedOn w:val="DefaultParagraphFont"/>
    <w:uiPriority w:val="99"/>
    <w:semiHidden/>
    <w:unhideWhenUsed/>
    <w:rsid w:val="001659A5"/>
    <w:rPr>
      <w:color w:val="800080" w:themeColor="followedHyperlink"/>
      <w:u w:val="single"/>
    </w:rPr>
  </w:style>
  <w:style w:type="character" w:styleId="Emphasis">
    <w:name w:val="Emphasis"/>
    <w:basedOn w:val="DefaultParagraphFont"/>
    <w:uiPriority w:val="20"/>
    <w:qFormat/>
    <w:rsid w:val="00003F9A"/>
    <w:rPr>
      <w:i/>
      <w:iCs/>
    </w:rPr>
  </w:style>
  <w:style w:type="character" w:customStyle="1" w:styleId="apple-converted-space">
    <w:name w:val="apple-converted-space"/>
    <w:basedOn w:val="DefaultParagraphFont"/>
    <w:rsid w:val="00003F9A"/>
  </w:style>
  <w:style w:type="paragraph" w:styleId="NormalWeb">
    <w:name w:val="Normal (Web)"/>
    <w:basedOn w:val="Normal"/>
    <w:uiPriority w:val="99"/>
    <w:semiHidden/>
    <w:unhideWhenUsed/>
    <w:rsid w:val="00EB4B03"/>
    <w:pPr>
      <w:tabs>
        <w:tab w:val="clear" w:pos="397"/>
        <w:tab w:val="clear" w:pos="794"/>
        <w:tab w:val="clear" w:pos="1191"/>
        <w:tab w:val="clear" w:pos="1588"/>
        <w:tab w:val="clear" w:pos="1985"/>
      </w:tabs>
      <w:spacing w:before="100" w:beforeAutospacing="1" w:after="100" w:afterAutospacing="1"/>
      <w:jc w:val="left"/>
    </w:pPr>
    <w:rPr>
      <w:rFonts w:ascii="Times New Roman" w:hAnsi="Times New Roman"/>
      <w:color w:val="auto"/>
      <w:spacing w:val="0"/>
      <w:kern w:val="0"/>
      <w:sz w:val="24"/>
      <w:szCs w:val="24"/>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48975">
      <w:bodyDiv w:val="1"/>
      <w:marLeft w:val="0"/>
      <w:marRight w:val="0"/>
      <w:marTop w:val="0"/>
      <w:marBottom w:val="0"/>
      <w:divBdr>
        <w:top w:val="none" w:sz="0" w:space="0" w:color="auto"/>
        <w:left w:val="none" w:sz="0" w:space="0" w:color="auto"/>
        <w:bottom w:val="none" w:sz="0" w:space="0" w:color="auto"/>
        <w:right w:val="none" w:sz="0" w:space="0" w:color="auto"/>
      </w:divBdr>
      <w:divsChild>
        <w:div w:id="1756054540">
          <w:marLeft w:val="0"/>
          <w:marRight w:val="0"/>
          <w:marTop w:val="0"/>
          <w:marBottom w:val="0"/>
          <w:divBdr>
            <w:top w:val="none" w:sz="0" w:space="0" w:color="auto"/>
            <w:left w:val="none" w:sz="0" w:space="0" w:color="auto"/>
            <w:bottom w:val="none" w:sz="0" w:space="0" w:color="auto"/>
            <w:right w:val="none" w:sz="0" w:space="0" w:color="auto"/>
          </w:divBdr>
          <w:divsChild>
            <w:div w:id="807940352">
              <w:marLeft w:val="0"/>
              <w:marRight w:val="0"/>
              <w:marTop w:val="0"/>
              <w:marBottom w:val="0"/>
              <w:divBdr>
                <w:top w:val="none" w:sz="0" w:space="0" w:color="auto"/>
                <w:left w:val="none" w:sz="0" w:space="0" w:color="auto"/>
                <w:bottom w:val="none" w:sz="0" w:space="0" w:color="auto"/>
                <w:right w:val="none" w:sz="0" w:space="0" w:color="auto"/>
              </w:divBdr>
              <w:divsChild>
                <w:div w:id="8318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970756">
      <w:bodyDiv w:val="1"/>
      <w:marLeft w:val="0"/>
      <w:marRight w:val="0"/>
      <w:marTop w:val="0"/>
      <w:marBottom w:val="0"/>
      <w:divBdr>
        <w:top w:val="none" w:sz="0" w:space="0" w:color="auto"/>
        <w:left w:val="none" w:sz="0" w:space="0" w:color="auto"/>
        <w:bottom w:val="none" w:sz="0" w:space="0" w:color="auto"/>
        <w:right w:val="none" w:sz="0" w:space="0" w:color="auto"/>
      </w:divBdr>
      <w:divsChild>
        <w:div w:id="1902910077">
          <w:marLeft w:val="0"/>
          <w:marRight w:val="0"/>
          <w:marTop w:val="0"/>
          <w:marBottom w:val="0"/>
          <w:divBdr>
            <w:top w:val="none" w:sz="0" w:space="0" w:color="auto"/>
            <w:left w:val="none" w:sz="0" w:space="0" w:color="auto"/>
            <w:bottom w:val="none" w:sz="0" w:space="0" w:color="auto"/>
            <w:right w:val="none" w:sz="0" w:space="0" w:color="auto"/>
          </w:divBdr>
          <w:divsChild>
            <w:div w:id="733704646">
              <w:marLeft w:val="0"/>
              <w:marRight w:val="0"/>
              <w:marTop w:val="0"/>
              <w:marBottom w:val="0"/>
              <w:divBdr>
                <w:top w:val="none" w:sz="0" w:space="0" w:color="auto"/>
                <w:left w:val="none" w:sz="0" w:space="0" w:color="auto"/>
                <w:bottom w:val="none" w:sz="0" w:space="0" w:color="auto"/>
                <w:right w:val="none" w:sz="0" w:space="0" w:color="auto"/>
              </w:divBdr>
              <w:divsChild>
                <w:div w:id="494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786845">
      <w:bodyDiv w:val="1"/>
      <w:marLeft w:val="0"/>
      <w:marRight w:val="0"/>
      <w:marTop w:val="0"/>
      <w:marBottom w:val="0"/>
      <w:divBdr>
        <w:top w:val="none" w:sz="0" w:space="0" w:color="auto"/>
        <w:left w:val="none" w:sz="0" w:space="0" w:color="auto"/>
        <w:bottom w:val="none" w:sz="0" w:space="0" w:color="auto"/>
        <w:right w:val="none" w:sz="0" w:space="0" w:color="auto"/>
      </w:divBdr>
      <w:divsChild>
        <w:div w:id="1132019965">
          <w:marLeft w:val="0"/>
          <w:marRight w:val="0"/>
          <w:marTop w:val="0"/>
          <w:marBottom w:val="0"/>
          <w:divBdr>
            <w:top w:val="none" w:sz="0" w:space="0" w:color="auto"/>
            <w:left w:val="none" w:sz="0" w:space="0" w:color="auto"/>
            <w:bottom w:val="none" w:sz="0" w:space="0" w:color="auto"/>
            <w:right w:val="none" w:sz="0" w:space="0" w:color="auto"/>
          </w:divBdr>
          <w:divsChild>
            <w:div w:id="1074551109">
              <w:marLeft w:val="0"/>
              <w:marRight w:val="0"/>
              <w:marTop w:val="0"/>
              <w:marBottom w:val="0"/>
              <w:divBdr>
                <w:top w:val="none" w:sz="0" w:space="0" w:color="auto"/>
                <w:left w:val="none" w:sz="0" w:space="0" w:color="auto"/>
                <w:bottom w:val="none" w:sz="0" w:space="0" w:color="auto"/>
                <w:right w:val="none" w:sz="0" w:space="0" w:color="auto"/>
              </w:divBdr>
              <w:divsChild>
                <w:div w:id="3021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36900">
      <w:bodyDiv w:val="1"/>
      <w:marLeft w:val="0"/>
      <w:marRight w:val="0"/>
      <w:marTop w:val="0"/>
      <w:marBottom w:val="0"/>
      <w:divBdr>
        <w:top w:val="none" w:sz="0" w:space="0" w:color="auto"/>
        <w:left w:val="none" w:sz="0" w:space="0" w:color="auto"/>
        <w:bottom w:val="none" w:sz="0" w:space="0" w:color="auto"/>
        <w:right w:val="none" w:sz="0" w:space="0" w:color="auto"/>
      </w:divBdr>
    </w:div>
    <w:div w:id="1160274022">
      <w:bodyDiv w:val="1"/>
      <w:marLeft w:val="0"/>
      <w:marRight w:val="0"/>
      <w:marTop w:val="0"/>
      <w:marBottom w:val="0"/>
      <w:divBdr>
        <w:top w:val="none" w:sz="0" w:space="0" w:color="auto"/>
        <w:left w:val="none" w:sz="0" w:space="0" w:color="auto"/>
        <w:bottom w:val="none" w:sz="0" w:space="0" w:color="auto"/>
        <w:right w:val="none" w:sz="0" w:space="0" w:color="auto"/>
      </w:divBdr>
      <w:divsChild>
        <w:div w:id="1874465174">
          <w:marLeft w:val="0"/>
          <w:marRight w:val="0"/>
          <w:marTop w:val="0"/>
          <w:marBottom w:val="0"/>
          <w:divBdr>
            <w:top w:val="none" w:sz="0" w:space="0" w:color="auto"/>
            <w:left w:val="none" w:sz="0" w:space="0" w:color="auto"/>
            <w:bottom w:val="none" w:sz="0" w:space="0" w:color="auto"/>
            <w:right w:val="none" w:sz="0" w:space="0" w:color="auto"/>
          </w:divBdr>
          <w:divsChild>
            <w:div w:id="187529901">
              <w:marLeft w:val="0"/>
              <w:marRight w:val="0"/>
              <w:marTop w:val="0"/>
              <w:marBottom w:val="0"/>
              <w:divBdr>
                <w:top w:val="none" w:sz="0" w:space="0" w:color="auto"/>
                <w:left w:val="none" w:sz="0" w:space="0" w:color="auto"/>
                <w:bottom w:val="none" w:sz="0" w:space="0" w:color="auto"/>
                <w:right w:val="none" w:sz="0" w:space="0" w:color="auto"/>
              </w:divBdr>
              <w:divsChild>
                <w:div w:id="83198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384170">
      <w:bodyDiv w:val="1"/>
      <w:marLeft w:val="0"/>
      <w:marRight w:val="0"/>
      <w:marTop w:val="0"/>
      <w:marBottom w:val="0"/>
      <w:divBdr>
        <w:top w:val="none" w:sz="0" w:space="0" w:color="auto"/>
        <w:left w:val="none" w:sz="0" w:space="0" w:color="auto"/>
        <w:bottom w:val="none" w:sz="0" w:space="0" w:color="auto"/>
        <w:right w:val="none" w:sz="0" w:space="0" w:color="auto"/>
      </w:divBdr>
      <w:divsChild>
        <w:div w:id="1316640783">
          <w:marLeft w:val="0"/>
          <w:marRight w:val="0"/>
          <w:marTop w:val="0"/>
          <w:marBottom w:val="0"/>
          <w:divBdr>
            <w:top w:val="none" w:sz="0" w:space="0" w:color="auto"/>
            <w:left w:val="none" w:sz="0" w:space="0" w:color="auto"/>
            <w:bottom w:val="none" w:sz="0" w:space="0" w:color="auto"/>
            <w:right w:val="none" w:sz="0" w:space="0" w:color="auto"/>
          </w:divBdr>
          <w:divsChild>
            <w:div w:id="653264194">
              <w:marLeft w:val="0"/>
              <w:marRight w:val="0"/>
              <w:marTop w:val="0"/>
              <w:marBottom w:val="0"/>
              <w:divBdr>
                <w:top w:val="none" w:sz="0" w:space="0" w:color="auto"/>
                <w:left w:val="none" w:sz="0" w:space="0" w:color="auto"/>
                <w:bottom w:val="none" w:sz="0" w:space="0" w:color="auto"/>
                <w:right w:val="none" w:sz="0" w:space="0" w:color="auto"/>
              </w:divBdr>
              <w:divsChild>
                <w:div w:id="18082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448805">
      <w:bodyDiv w:val="1"/>
      <w:marLeft w:val="0"/>
      <w:marRight w:val="0"/>
      <w:marTop w:val="0"/>
      <w:marBottom w:val="0"/>
      <w:divBdr>
        <w:top w:val="none" w:sz="0" w:space="0" w:color="auto"/>
        <w:left w:val="none" w:sz="0" w:space="0" w:color="auto"/>
        <w:bottom w:val="none" w:sz="0" w:space="0" w:color="auto"/>
        <w:right w:val="none" w:sz="0" w:space="0" w:color="auto"/>
      </w:divBdr>
      <w:divsChild>
        <w:div w:id="668212975">
          <w:marLeft w:val="0"/>
          <w:marRight w:val="0"/>
          <w:marTop w:val="0"/>
          <w:marBottom w:val="0"/>
          <w:divBdr>
            <w:top w:val="none" w:sz="0" w:space="0" w:color="auto"/>
            <w:left w:val="none" w:sz="0" w:space="0" w:color="auto"/>
            <w:bottom w:val="none" w:sz="0" w:space="0" w:color="auto"/>
            <w:right w:val="none" w:sz="0" w:space="0" w:color="auto"/>
          </w:divBdr>
          <w:divsChild>
            <w:div w:id="1877232613">
              <w:marLeft w:val="0"/>
              <w:marRight w:val="0"/>
              <w:marTop w:val="0"/>
              <w:marBottom w:val="0"/>
              <w:divBdr>
                <w:top w:val="none" w:sz="0" w:space="0" w:color="auto"/>
                <w:left w:val="none" w:sz="0" w:space="0" w:color="auto"/>
                <w:bottom w:val="none" w:sz="0" w:space="0" w:color="auto"/>
                <w:right w:val="none" w:sz="0" w:space="0" w:color="auto"/>
              </w:divBdr>
              <w:divsChild>
                <w:div w:id="142102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16125">
      <w:bodyDiv w:val="1"/>
      <w:marLeft w:val="0"/>
      <w:marRight w:val="0"/>
      <w:marTop w:val="0"/>
      <w:marBottom w:val="0"/>
      <w:divBdr>
        <w:top w:val="none" w:sz="0" w:space="0" w:color="auto"/>
        <w:left w:val="none" w:sz="0" w:space="0" w:color="auto"/>
        <w:bottom w:val="none" w:sz="0" w:space="0" w:color="auto"/>
        <w:right w:val="none" w:sz="0" w:space="0" w:color="auto"/>
      </w:divBdr>
      <w:divsChild>
        <w:div w:id="1472869932">
          <w:marLeft w:val="0"/>
          <w:marRight w:val="0"/>
          <w:marTop w:val="0"/>
          <w:marBottom w:val="0"/>
          <w:divBdr>
            <w:top w:val="none" w:sz="0" w:space="0" w:color="auto"/>
            <w:left w:val="none" w:sz="0" w:space="0" w:color="auto"/>
            <w:bottom w:val="none" w:sz="0" w:space="0" w:color="auto"/>
            <w:right w:val="none" w:sz="0" w:space="0" w:color="auto"/>
          </w:divBdr>
          <w:divsChild>
            <w:div w:id="265315177">
              <w:marLeft w:val="0"/>
              <w:marRight w:val="0"/>
              <w:marTop w:val="0"/>
              <w:marBottom w:val="0"/>
              <w:divBdr>
                <w:top w:val="none" w:sz="0" w:space="0" w:color="auto"/>
                <w:left w:val="none" w:sz="0" w:space="0" w:color="auto"/>
                <w:bottom w:val="none" w:sz="0" w:space="0" w:color="auto"/>
                <w:right w:val="none" w:sz="0" w:space="0" w:color="auto"/>
              </w:divBdr>
              <w:divsChild>
                <w:div w:id="730815178">
                  <w:marLeft w:val="0"/>
                  <w:marRight w:val="0"/>
                  <w:marTop w:val="0"/>
                  <w:marBottom w:val="0"/>
                  <w:divBdr>
                    <w:top w:val="none" w:sz="0" w:space="0" w:color="auto"/>
                    <w:left w:val="none" w:sz="0" w:space="0" w:color="auto"/>
                    <w:bottom w:val="none" w:sz="0" w:space="0" w:color="auto"/>
                    <w:right w:val="none" w:sz="0" w:space="0" w:color="auto"/>
                  </w:divBdr>
                  <w:divsChild>
                    <w:div w:id="17881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252304">
      <w:bodyDiv w:val="1"/>
      <w:marLeft w:val="0"/>
      <w:marRight w:val="0"/>
      <w:marTop w:val="0"/>
      <w:marBottom w:val="0"/>
      <w:divBdr>
        <w:top w:val="none" w:sz="0" w:space="0" w:color="auto"/>
        <w:left w:val="none" w:sz="0" w:space="0" w:color="auto"/>
        <w:bottom w:val="none" w:sz="0" w:space="0" w:color="auto"/>
        <w:right w:val="none" w:sz="0" w:space="0" w:color="auto"/>
      </w:divBdr>
      <w:divsChild>
        <w:div w:id="623199022">
          <w:marLeft w:val="0"/>
          <w:marRight w:val="0"/>
          <w:marTop w:val="0"/>
          <w:marBottom w:val="0"/>
          <w:divBdr>
            <w:top w:val="none" w:sz="0" w:space="0" w:color="auto"/>
            <w:left w:val="none" w:sz="0" w:space="0" w:color="auto"/>
            <w:bottom w:val="none" w:sz="0" w:space="0" w:color="auto"/>
            <w:right w:val="none" w:sz="0" w:space="0" w:color="auto"/>
          </w:divBdr>
          <w:divsChild>
            <w:div w:id="884605312">
              <w:marLeft w:val="0"/>
              <w:marRight w:val="0"/>
              <w:marTop w:val="0"/>
              <w:marBottom w:val="0"/>
              <w:divBdr>
                <w:top w:val="none" w:sz="0" w:space="0" w:color="auto"/>
                <w:left w:val="none" w:sz="0" w:space="0" w:color="auto"/>
                <w:bottom w:val="none" w:sz="0" w:space="0" w:color="auto"/>
                <w:right w:val="none" w:sz="0" w:space="0" w:color="auto"/>
              </w:divBdr>
              <w:divsChild>
                <w:div w:id="38194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84097">
      <w:bodyDiv w:val="1"/>
      <w:marLeft w:val="0"/>
      <w:marRight w:val="0"/>
      <w:marTop w:val="0"/>
      <w:marBottom w:val="0"/>
      <w:divBdr>
        <w:top w:val="none" w:sz="0" w:space="0" w:color="auto"/>
        <w:left w:val="none" w:sz="0" w:space="0" w:color="auto"/>
        <w:bottom w:val="none" w:sz="0" w:space="0" w:color="auto"/>
        <w:right w:val="none" w:sz="0" w:space="0" w:color="auto"/>
      </w:divBdr>
      <w:divsChild>
        <w:div w:id="1023358178">
          <w:marLeft w:val="0"/>
          <w:marRight w:val="0"/>
          <w:marTop w:val="0"/>
          <w:marBottom w:val="0"/>
          <w:divBdr>
            <w:top w:val="none" w:sz="0" w:space="0" w:color="auto"/>
            <w:left w:val="none" w:sz="0" w:space="0" w:color="auto"/>
            <w:bottom w:val="none" w:sz="0" w:space="0" w:color="auto"/>
            <w:right w:val="none" w:sz="0" w:space="0" w:color="auto"/>
          </w:divBdr>
          <w:divsChild>
            <w:div w:id="2088763947">
              <w:marLeft w:val="0"/>
              <w:marRight w:val="0"/>
              <w:marTop w:val="0"/>
              <w:marBottom w:val="0"/>
              <w:divBdr>
                <w:top w:val="none" w:sz="0" w:space="0" w:color="auto"/>
                <w:left w:val="none" w:sz="0" w:space="0" w:color="auto"/>
                <w:bottom w:val="none" w:sz="0" w:space="0" w:color="auto"/>
                <w:right w:val="none" w:sz="0" w:space="0" w:color="auto"/>
              </w:divBdr>
              <w:divsChild>
                <w:div w:id="33711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256070">
      <w:bodyDiv w:val="1"/>
      <w:marLeft w:val="0"/>
      <w:marRight w:val="0"/>
      <w:marTop w:val="0"/>
      <w:marBottom w:val="0"/>
      <w:divBdr>
        <w:top w:val="none" w:sz="0" w:space="0" w:color="auto"/>
        <w:left w:val="none" w:sz="0" w:space="0" w:color="auto"/>
        <w:bottom w:val="none" w:sz="0" w:space="0" w:color="auto"/>
        <w:right w:val="none" w:sz="0" w:space="0" w:color="auto"/>
      </w:divBdr>
      <w:divsChild>
        <w:div w:id="2113932905">
          <w:marLeft w:val="0"/>
          <w:marRight w:val="0"/>
          <w:marTop w:val="0"/>
          <w:marBottom w:val="0"/>
          <w:divBdr>
            <w:top w:val="none" w:sz="0" w:space="0" w:color="auto"/>
            <w:left w:val="none" w:sz="0" w:space="0" w:color="auto"/>
            <w:bottom w:val="none" w:sz="0" w:space="0" w:color="auto"/>
            <w:right w:val="none" w:sz="0" w:space="0" w:color="auto"/>
          </w:divBdr>
          <w:divsChild>
            <w:div w:id="995454230">
              <w:marLeft w:val="0"/>
              <w:marRight w:val="0"/>
              <w:marTop w:val="0"/>
              <w:marBottom w:val="0"/>
              <w:divBdr>
                <w:top w:val="none" w:sz="0" w:space="0" w:color="auto"/>
                <w:left w:val="none" w:sz="0" w:space="0" w:color="auto"/>
                <w:bottom w:val="none" w:sz="0" w:space="0" w:color="auto"/>
                <w:right w:val="none" w:sz="0" w:space="0" w:color="auto"/>
              </w:divBdr>
              <w:divsChild>
                <w:div w:id="32705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09457">
      <w:bodyDiv w:val="1"/>
      <w:marLeft w:val="0"/>
      <w:marRight w:val="0"/>
      <w:marTop w:val="0"/>
      <w:marBottom w:val="0"/>
      <w:divBdr>
        <w:top w:val="none" w:sz="0" w:space="0" w:color="auto"/>
        <w:left w:val="none" w:sz="0" w:space="0" w:color="auto"/>
        <w:bottom w:val="none" w:sz="0" w:space="0" w:color="auto"/>
        <w:right w:val="none" w:sz="0" w:space="0" w:color="auto"/>
      </w:divBdr>
      <w:divsChild>
        <w:div w:id="707995130">
          <w:marLeft w:val="0"/>
          <w:marRight w:val="0"/>
          <w:marTop w:val="0"/>
          <w:marBottom w:val="0"/>
          <w:divBdr>
            <w:top w:val="none" w:sz="0" w:space="0" w:color="auto"/>
            <w:left w:val="none" w:sz="0" w:space="0" w:color="auto"/>
            <w:bottom w:val="none" w:sz="0" w:space="0" w:color="auto"/>
            <w:right w:val="none" w:sz="0" w:space="0" w:color="auto"/>
          </w:divBdr>
          <w:divsChild>
            <w:div w:id="1435321316">
              <w:marLeft w:val="0"/>
              <w:marRight w:val="0"/>
              <w:marTop w:val="0"/>
              <w:marBottom w:val="0"/>
              <w:divBdr>
                <w:top w:val="none" w:sz="0" w:space="0" w:color="auto"/>
                <w:left w:val="none" w:sz="0" w:space="0" w:color="auto"/>
                <w:bottom w:val="none" w:sz="0" w:space="0" w:color="auto"/>
                <w:right w:val="none" w:sz="0" w:space="0" w:color="auto"/>
              </w:divBdr>
              <w:divsChild>
                <w:div w:id="21360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36078">
      <w:bodyDiv w:val="1"/>
      <w:marLeft w:val="0"/>
      <w:marRight w:val="0"/>
      <w:marTop w:val="0"/>
      <w:marBottom w:val="0"/>
      <w:divBdr>
        <w:top w:val="none" w:sz="0" w:space="0" w:color="auto"/>
        <w:left w:val="none" w:sz="0" w:space="0" w:color="auto"/>
        <w:bottom w:val="none" w:sz="0" w:space="0" w:color="auto"/>
        <w:right w:val="none" w:sz="0" w:space="0" w:color="auto"/>
      </w:divBdr>
      <w:divsChild>
        <w:div w:id="1875803111">
          <w:marLeft w:val="0"/>
          <w:marRight w:val="0"/>
          <w:marTop w:val="0"/>
          <w:marBottom w:val="0"/>
          <w:divBdr>
            <w:top w:val="none" w:sz="0" w:space="0" w:color="auto"/>
            <w:left w:val="none" w:sz="0" w:space="0" w:color="auto"/>
            <w:bottom w:val="none" w:sz="0" w:space="0" w:color="auto"/>
            <w:right w:val="none" w:sz="0" w:space="0" w:color="auto"/>
          </w:divBdr>
          <w:divsChild>
            <w:div w:id="407962774">
              <w:marLeft w:val="0"/>
              <w:marRight w:val="0"/>
              <w:marTop w:val="0"/>
              <w:marBottom w:val="0"/>
              <w:divBdr>
                <w:top w:val="none" w:sz="0" w:space="0" w:color="auto"/>
                <w:left w:val="none" w:sz="0" w:space="0" w:color="auto"/>
                <w:bottom w:val="none" w:sz="0" w:space="0" w:color="auto"/>
                <w:right w:val="none" w:sz="0" w:space="0" w:color="auto"/>
              </w:divBdr>
              <w:divsChild>
                <w:div w:id="9523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tes.org/sites/default/files/notifications/S-Notif-2022-045.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ites.org/esp/resources/ref/suspend.ph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tes.org/sites/default/files/esp/com/pc/25/Documents/S-PC25-12.pdf" TargetMode="External"/><Relationship Id="rId5" Type="http://schemas.openxmlformats.org/officeDocument/2006/relationships/numbering" Target="numbering.xml"/><Relationship Id="rId15" Type="http://schemas.openxmlformats.org/officeDocument/2006/relationships/hyperlink" Target="https://cites.org/eng/topics/flora/cites-and-forests/cites-fao-project-on-improved-forest-governance-in-the-lower-mekong-region-lm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tes.org/eng/topics/flora/cites-and-forests/cites-fao-project-on-improved-forest-governance-in-the-lower-mekong-region-lm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ntilli\Working%20folders\A%20C\31%20-%2013-17.07.20\Templates\E-AC31-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ssignedto xmlns="091e5ae7-c31f-43e0-b380-74509edc0e9e" xsi:nil="true"/>
    <Date xmlns="091e5ae7-c31f-43e0-b380-74509edc0e9e" xsi:nil="true"/>
    <lcf76f155ced4ddcb4097134ff3c332f xmlns="091e5ae7-c31f-43e0-b380-74509edc0e9e">
      <Terms xmlns="http://schemas.microsoft.com/office/infopath/2007/PartnerControls"/>
    </lcf76f155ced4ddcb4097134ff3c332f>
    <TaxCatchAll xmlns="985ec44e-1bab-4c0b-9df0-6ba128686fc9" xsi:nil="true"/>
    <SharedWithUsers xmlns="009fae64-a0e6-4869-b94e-2533145ac23d">
      <UserInfo>
        <DisplayName>Helene Gandois</DisplayName>
        <AccountId>15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168C30B6B6D64891B8AA6035CFB24E" ma:contentTypeVersion="20" ma:contentTypeDescription="Create a new document." ma:contentTypeScope="" ma:versionID="5a1c3342649d2b55dff636e17e4f54d4">
  <xsd:schema xmlns:xsd="http://www.w3.org/2001/XMLSchema" xmlns:xs="http://www.w3.org/2001/XMLSchema" xmlns:p="http://schemas.microsoft.com/office/2006/metadata/properties" xmlns:ns2="091e5ae7-c31f-43e0-b380-74509edc0e9e" xmlns:ns3="009fae64-a0e6-4869-b94e-2533145ac23d" xmlns:ns4="985ec44e-1bab-4c0b-9df0-6ba128686fc9" targetNamespace="http://schemas.microsoft.com/office/2006/metadata/properties" ma:root="true" ma:fieldsID="4f05bb7d6e46753185356a346b5dbcc8" ns2:_="" ns3:_="" ns4:_="">
    <xsd:import namespace="091e5ae7-c31f-43e0-b380-74509edc0e9e"/>
    <xsd:import namespace="009fae64-a0e6-4869-b94e-2533145ac23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Assignedto" minOccurs="0"/>
                <xsd:element ref="ns2:MediaLengthInSeconds" minOccurs="0"/>
                <xsd:element ref="ns2:lcf76f155ced4ddcb4097134ff3c332f" minOccurs="0"/>
                <xsd:element ref="ns4:TaxCatchAll" minOccurs="0"/>
                <xsd:element ref="ns2:Da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e5ae7-c31f-43e0-b380-74509edc0e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Assignedto" ma:index="20" nillable="true" ma:displayName="Assigned to" ma:format="Dropdown" ma:internalName="Assignedt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Only" ma:internalName="Dat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9fae64-a0e6-4869-b94e-2533145ac23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7ba9d11-ed79-45ab-82e1-2ff8e9c45b0e}" ma:internalName="TaxCatchAll" ma:showField="CatchAllData" ma:web="009fae64-a0e6-4869-b94e-2533145ac2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815C77-EE23-40AD-B21C-1112D6729525}">
  <ds:schemaRefs>
    <ds:schemaRef ds:uri="http://schemas.microsoft.com/sharepoint/v3/contenttype/forms"/>
  </ds:schemaRefs>
</ds:datastoreItem>
</file>

<file path=customXml/itemProps2.xml><?xml version="1.0" encoding="utf-8"?>
<ds:datastoreItem xmlns:ds="http://schemas.openxmlformats.org/officeDocument/2006/customXml" ds:itemID="{F1D73608-0296-4A8B-8547-D2B87968A737}">
  <ds:schemaRefs>
    <ds:schemaRef ds:uri="http://schemas.microsoft.com/office/2006/metadata/properties"/>
    <ds:schemaRef ds:uri="http://schemas.microsoft.com/office/infopath/2007/PartnerControls"/>
    <ds:schemaRef ds:uri="091e5ae7-c31f-43e0-b380-74509edc0e9e"/>
    <ds:schemaRef ds:uri="985ec44e-1bab-4c0b-9df0-6ba128686fc9"/>
    <ds:schemaRef ds:uri="009fae64-a0e6-4869-b94e-2533145ac23d"/>
  </ds:schemaRefs>
</ds:datastoreItem>
</file>

<file path=customXml/itemProps3.xml><?xml version="1.0" encoding="utf-8"?>
<ds:datastoreItem xmlns:ds="http://schemas.openxmlformats.org/officeDocument/2006/customXml" ds:itemID="{9226F0FE-EDE8-4475-9462-724C9F8F7B97}">
  <ds:schemaRefs>
    <ds:schemaRef ds:uri="http://schemas.openxmlformats.org/officeDocument/2006/bibliography"/>
  </ds:schemaRefs>
</ds:datastoreItem>
</file>

<file path=customXml/itemProps4.xml><?xml version="1.0" encoding="utf-8"?>
<ds:datastoreItem xmlns:ds="http://schemas.openxmlformats.org/officeDocument/2006/customXml" ds:itemID="{FDEF0B5C-AC6D-4986-8E34-7B2140CDE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e5ae7-c31f-43e0-b380-74509edc0e9e"/>
    <ds:schemaRef ds:uri="009fae64-a0e6-4869-b94e-2533145ac23d"/>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E-AC31-Doc.dotx</Template>
  <TotalTime>1</TotalTime>
  <Pages>6</Pages>
  <Words>2177</Words>
  <Characters>12707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PC26 Sum.</vt:lpstr>
    </vt:vector>
  </TitlesOfParts>
  <Company>ONU</Company>
  <LinksUpToDate>false</LinksUpToDate>
  <CharactersWithSpaces>14855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PC26 Sum.</dc:title>
  <dc:subject/>
  <dc:creator>Victoria Zentilli</dc:creator>
  <cp:keywords>PC26</cp:keywords>
  <cp:lastModifiedBy>Maria Isabel Camarena Osorno</cp:lastModifiedBy>
  <cp:revision>3</cp:revision>
  <cp:lastPrinted>2023-07-08T08:41:00Z</cp:lastPrinted>
  <dcterms:created xsi:type="dcterms:W3CDTF">2023-10-30T13:37:00Z</dcterms:created>
  <dcterms:modified xsi:type="dcterms:W3CDTF">2023-10-30T13:38:00Z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0x0101006C168C30B6B6D64891B8AA6035CFB24E</vt:lpwstr>
  </property>
  <property fmtid="{D5CDD505-2E9C-101B-9397-08002B2CF9AE}" pid="3" name="MediaServiceImageTags">
    <vt:lpwstr/>
  </property>
</Properties>
</file>