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F609" w14:textId="0612F446" w:rsidR="00A439E1" w:rsidRPr="003E07DD" w:rsidRDefault="001D1041" w:rsidP="001D1041">
      <w:pPr>
        <w:spacing w:after="0" w:line="259" w:lineRule="auto"/>
        <w:ind w:left="10" w:right="55"/>
        <w:jc w:val="center"/>
        <w:rPr>
          <w:rFonts w:cs="Arial"/>
          <w:color w:val="auto"/>
          <w:lang w:val="fr-CH"/>
        </w:rPr>
      </w:pPr>
      <w:r w:rsidRPr="003E07DD">
        <w:rPr>
          <w:rFonts w:cs="Arial"/>
          <w:color w:val="auto"/>
          <w:lang w:val="fr-CH"/>
        </w:rPr>
        <w:t>COMPENDIUM CITES SUR LES FORÊTS : COP19-COP20</w:t>
      </w:r>
      <w:r w:rsidR="007A638A" w:rsidRPr="003E07DD">
        <w:rPr>
          <w:rFonts w:cs="Arial"/>
          <w:color w:val="auto"/>
          <w:lang w:val="fr-CH"/>
        </w:rPr>
        <w:t xml:space="preserve"> </w:t>
      </w:r>
    </w:p>
    <w:p w14:paraId="33D89C1E" w14:textId="26A66C79" w:rsidR="00A439E1" w:rsidRPr="003E07DD" w:rsidRDefault="001D1041" w:rsidP="001D1041">
      <w:pPr>
        <w:spacing w:after="480"/>
        <w:jc w:val="center"/>
        <w:rPr>
          <w:rFonts w:cs="Arial"/>
          <w:color w:val="auto"/>
          <w:lang w:val="fr-CH"/>
        </w:rPr>
      </w:pPr>
      <w:r w:rsidRPr="003E07DD">
        <w:rPr>
          <w:rFonts w:cs="Arial"/>
          <w:color w:val="auto"/>
          <w:lang w:val="fr-CH"/>
        </w:rPr>
        <w:t>RAPPORT ÉTABLI CONFORMÉMENT AUX DISPOSITIONS DU PARAGRAPHE A) DE LA DÉCISION 19.32</w:t>
      </w:r>
      <w:r w:rsidR="007A638A" w:rsidRPr="003E07DD">
        <w:rPr>
          <w:rFonts w:cs="Arial"/>
          <w:color w:val="auto"/>
          <w:lang w:val="fr-CH"/>
        </w:rPr>
        <w:t xml:space="preserve"> </w:t>
      </w:r>
    </w:p>
    <w:p w14:paraId="18498F7A" w14:textId="67323EB1" w:rsidR="00A439E1" w:rsidRPr="003E07DD" w:rsidRDefault="001D1041" w:rsidP="001D1041">
      <w:pPr>
        <w:spacing w:after="230"/>
        <w:ind w:left="-1"/>
        <w:jc w:val="left"/>
        <w:rPr>
          <w:rFonts w:cs="Arial"/>
          <w:color w:val="auto"/>
          <w:lang w:val="fr-CH"/>
        </w:rPr>
      </w:pPr>
      <w:r w:rsidRPr="003E07DD">
        <w:rPr>
          <w:rFonts w:cs="Arial"/>
          <w:color w:val="auto"/>
          <w:u w:val="single"/>
          <w:lang w:val="fr-CH"/>
        </w:rPr>
        <w:t>Introduction</w:t>
      </w:r>
      <w:r w:rsidR="007A638A" w:rsidRPr="003E07DD">
        <w:rPr>
          <w:rFonts w:cs="Arial"/>
          <w:color w:val="auto"/>
          <w:lang w:val="fr-CH"/>
        </w:rPr>
        <w:t xml:space="preserve"> </w:t>
      </w:r>
    </w:p>
    <w:p w14:paraId="2C089F99" w14:textId="414C476C" w:rsidR="00A439E1" w:rsidRPr="003E07DD" w:rsidRDefault="001D1041" w:rsidP="001D1041">
      <w:pPr>
        <w:ind w:left="-3" w:right="41"/>
        <w:rPr>
          <w:rFonts w:cs="Arial"/>
          <w:color w:val="auto"/>
          <w:lang w:val="fr-CH"/>
        </w:rPr>
      </w:pPr>
      <w:r w:rsidRPr="003E07DD">
        <w:rPr>
          <w:rFonts w:cs="Arial"/>
          <w:color w:val="auto"/>
          <w:lang w:val="fr-CH"/>
        </w:rPr>
        <w:t>Les décisions 19.32 et 19.33 demandent que toute nouvelle initiative relative à la CITES et les forêts mette l’accent sur les espèces d’arbres inscrites aux Annexes de la CITES. Conformément aux décisions, le compendium est à ce stade axé sur les dispositions de la CITES relatives aux espèces d’arbres.</w:t>
      </w:r>
      <w:r w:rsidR="007A638A" w:rsidRPr="003E07DD">
        <w:rPr>
          <w:rFonts w:cs="Arial"/>
          <w:color w:val="auto"/>
          <w:lang w:val="fr-CH"/>
        </w:rPr>
        <w:t xml:space="preserve">  </w:t>
      </w:r>
    </w:p>
    <w:p w14:paraId="48734513" w14:textId="5DDEA95F" w:rsidR="00A439E1" w:rsidRPr="003E07DD" w:rsidRDefault="001D1041" w:rsidP="001D1041">
      <w:pPr>
        <w:ind w:left="-3" w:right="41"/>
        <w:rPr>
          <w:rFonts w:cs="Arial"/>
          <w:color w:val="auto"/>
          <w:lang w:val="fr-CH"/>
        </w:rPr>
      </w:pPr>
      <w:r w:rsidRPr="003E07DD">
        <w:rPr>
          <w:rFonts w:cs="Arial"/>
          <w:color w:val="auto"/>
          <w:lang w:val="fr-CH"/>
        </w:rPr>
        <w:t>Le compendium est structuré en trois sections comme suit :</w:t>
      </w:r>
      <w:r w:rsidR="007A638A" w:rsidRPr="003E07DD">
        <w:rPr>
          <w:rFonts w:cs="Arial"/>
          <w:color w:val="auto"/>
          <w:lang w:val="fr-CH"/>
        </w:rPr>
        <w:t xml:space="preserve">  </w:t>
      </w:r>
    </w:p>
    <w:p w14:paraId="4E9EEBA3" w14:textId="3A0276E9" w:rsidR="00A439E1" w:rsidRPr="003E07DD" w:rsidRDefault="00943DAD" w:rsidP="00943DAD">
      <w:pPr>
        <w:numPr>
          <w:ilvl w:val="0"/>
          <w:numId w:val="17"/>
        </w:numPr>
        <w:tabs>
          <w:tab w:val="clear" w:pos="397"/>
          <w:tab w:val="clear" w:pos="794"/>
          <w:tab w:val="clear" w:pos="1191"/>
          <w:tab w:val="clear" w:pos="1588"/>
          <w:tab w:val="clear" w:pos="1985"/>
        </w:tabs>
        <w:spacing w:after="233"/>
        <w:ind w:right="41" w:hanging="396"/>
        <w:rPr>
          <w:rFonts w:cs="Arial"/>
          <w:color w:val="auto"/>
          <w:lang w:val="fr-CH"/>
        </w:rPr>
      </w:pPr>
      <w:r w:rsidRPr="003E07DD">
        <w:rPr>
          <w:rFonts w:cs="Arial"/>
          <w:color w:val="auto"/>
          <w:lang w:val="fr-CH"/>
        </w:rPr>
        <w:t xml:space="preserve">Section 1 : Résolutions susceptibles de fournir un cadre politique technique (opérationnel et scientifique) ou stratégique pour toute nouvelle initiative relative à la </w:t>
      </w:r>
      <w:r w:rsidRPr="003E07DD">
        <w:rPr>
          <w:rFonts w:cs="Arial"/>
          <w:i/>
          <w:color w:val="auto"/>
          <w:lang w:val="fr-CH"/>
        </w:rPr>
        <w:t>CITES et les forêts</w:t>
      </w:r>
      <w:r w:rsidRPr="003E07DD">
        <w:rPr>
          <w:rFonts w:cs="Arial"/>
          <w:color w:val="auto"/>
          <w:lang w:val="fr-CH"/>
        </w:rPr>
        <w:t>, en particulier les espèces d’arbres.</w:t>
      </w:r>
      <w:r w:rsidR="007A638A" w:rsidRPr="003E07DD">
        <w:rPr>
          <w:rFonts w:cs="Arial"/>
          <w:color w:val="auto"/>
          <w:lang w:val="fr-CH"/>
        </w:rPr>
        <w:t xml:space="preserve"> </w:t>
      </w:r>
    </w:p>
    <w:p w14:paraId="01E75E0C" w14:textId="7136ABFB" w:rsidR="00A439E1" w:rsidRPr="003E07DD" w:rsidRDefault="00943DAD" w:rsidP="00943DAD">
      <w:pPr>
        <w:numPr>
          <w:ilvl w:val="0"/>
          <w:numId w:val="17"/>
        </w:numPr>
        <w:tabs>
          <w:tab w:val="clear" w:pos="397"/>
          <w:tab w:val="clear" w:pos="794"/>
          <w:tab w:val="clear" w:pos="1191"/>
          <w:tab w:val="clear" w:pos="1588"/>
          <w:tab w:val="clear" w:pos="1985"/>
        </w:tabs>
        <w:spacing w:after="233"/>
        <w:ind w:right="41" w:hanging="396"/>
        <w:rPr>
          <w:rFonts w:cs="Arial"/>
          <w:color w:val="auto"/>
          <w:lang w:val="fr-CH"/>
        </w:rPr>
      </w:pPr>
      <w:r w:rsidRPr="003E07DD">
        <w:rPr>
          <w:rFonts w:cs="Arial"/>
          <w:color w:val="auto"/>
          <w:lang w:val="fr-CH"/>
        </w:rPr>
        <w:t xml:space="preserve"> Section 2 : Décisions relatives aux espèces d’arbres avec possibilité de mise en œuvre par l’intermédiaire d'une approche programmatique pour toute nouvelle initiative relative à la </w:t>
      </w:r>
      <w:r w:rsidRPr="003E07DD">
        <w:rPr>
          <w:rFonts w:cs="Arial"/>
          <w:i/>
          <w:color w:val="auto"/>
          <w:lang w:val="fr-CH"/>
        </w:rPr>
        <w:t>CITES et les forêts</w:t>
      </w:r>
      <w:r w:rsidRPr="003E07DD">
        <w:rPr>
          <w:rFonts w:cs="Arial"/>
          <w:color w:val="auto"/>
          <w:lang w:val="fr-CH"/>
        </w:rPr>
        <w:t>.</w:t>
      </w:r>
      <w:r w:rsidR="007A638A" w:rsidRPr="003E07DD">
        <w:rPr>
          <w:rFonts w:cs="Arial"/>
          <w:color w:val="auto"/>
          <w:lang w:val="fr-CH"/>
        </w:rPr>
        <w:t xml:space="preserve"> </w:t>
      </w:r>
    </w:p>
    <w:p w14:paraId="65481006" w14:textId="55E1A392" w:rsidR="00A439E1" w:rsidRPr="003E07DD" w:rsidRDefault="00943DAD" w:rsidP="00943DAD">
      <w:pPr>
        <w:numPr>
          <w:ilvl w:val="0"/>
          <w:numId w:val="17"/>
        </w:numPr>
        <w:tabs>
          <w:tab w:val="clear" w:pos="397"/>
          <w:tab w:val="clear" w:pos="794"/>
          <w:tab w:val="clear" w:pos="1191"/>
          <w:tab w:val="clear" w:pos="1588"/>
          <w:tab w:val="clear" w:pos="1985"/>
        </w:tabs>
        <w:spacing w:after="233"/>
        <w:ind w:right="41" w:hanging="396"/>
        <w:rPr>
          <w:rFonts w:cs="Arial"/>
          <w:color w:val="auto"/>
          <w:lang w:val="fr-CH"/>
        </w:rPr>
      </w:pPr>
      <w:r w:rsidRPr="003E07DD">
        <w:rPr>
          <w:rFonts w:cs="Arial"/>
          <w:color w:val="auto"/>
          <w:lang w:val="fr-CH"/>
        </w:rPr>
        <w:t xml:space="preserve">Section 3 : Exemples de processus transversaux de la Convention qui contribuent aux mandats mondiaux concernant les forêts et aux politiques et initiatives forestières dans le cadre d’une approche programmatique sur </w:t>
      </w:r>
      <w:r w:rsidRPr="003E07DD">
        <w:rPr>
          <w:rFonts w:cs="Arial"/>
          <w:i/>
          <w:color w:val="auto"/>
          <w:lang w:val="fr-CH"/>
        </w:rPr>
        <w:t>la</w:t>
      </w:r>
      <w:r w:rsidRPr="003E07DD">
        <w:rPr>
          <w:rFonts w:cs="Arial"/>
          <w:color w:val="auto"/>
          <w:lang w:val="fr-CH"/>
        </w:rPr>
        <w:t xml:space="preserve"> </w:t>
      </w:r>
      <w:r w:rsidRPr="003E07DD">
        <w:rPr>
          <w:rFonts w:cs="Arial"/>
          <w:i/>
          <w:color w:val="auto"/>
          <w:lang w:val="fr-CH"/>
        </w:rPr>
        <w:t xml:space="preserve">CITES et les forêts, </w:t>
      </w:r>
      <w:r w:rsidRPr="003E07DD">
        <w:rPr>
          <w:rFonts w:cs="Arial"/>
          <w:color w:val="auto"/>
          <w:lang w:val="fr-CH"/>
        </w:rPr>
        <w:t>et liste des projets pour l’intersession entre la CoP19 (2022) et la CoP20 (2025).</w:t>
      </w:r>
    </w:p>
    <w:p w14:paraId="5C0CF3C5" w14:textId="7060AA2F" w:rsidR="00A439E1" w:rsidRPr="003E07DD" w:rsidRDefault="00943DAD" w:rsidP="00943DAD">
      <w:pPr>
        <w:spacing w:after="230"/>
        <w:ind w:left="-1"/>
        <w:jc w:val="left"/>
        <w:rPr>
          <w:rFonts w:cs="Arial"/>
          <w:color w:val="auto"/>
          <w:lang w:val="fr-CH"/>
        </w:rPr>
      </w:pPr>
      <w:r w:rsidRPr="003E07DD">
        <w:rPr>
          <w:rFonts w:cs="Arial"/>
          <w:color w:val="auto"/>
          <w:u w:val="single"/>
          <w:lang w:val="fr-CH"/>
        </w:rPr>
        <w:t xml:space="preserve">Section 1 : Résolutions susceptibles de fournir un cadre politique technique (opérationnel et scientifique) ou stratégique pour toute nouvelle initiative relative à </w:t>
      </w:r>
      <w:r w:rsidRPr="003E07DD">
        <w:rPr>
          <w:rFonts w:cs="Arial"/>
          <w:i/>
          <w:color w:val="auto"/>
          <w:u w:val="single"/>
          <w:lang w:val="fr-CH"/>
        </w:rPr>
        <w:t>la</w:t>
      </w:r>
      <w:r w:rsidRPr="003E07DD">
        <w:rPr>
          <w:rFonts w:cs="Arial"/>
          <w:color w:val="auto"/>
          <w:lang w:val="fr-CH"/>
        </w:rPr>
        <w:t xml:space="preserve"> </w:t>
      </w:r>
      <w:r w:rsidRPr="003E07DD">
        <w:rPr>
          <w:rFonts w:cs="Arial"/>
          <w:i/>
          <w:color w:val="auto"/>
          <w:u w:val="single"/>
          <w:lang w:val="fr-CH"/>
        </w:rPr>
        <w:t>CITES et les forêts</w:t>
      </w:r>
      <w:r w:rsidRPr="003E07DD">
        <w:rPr>
          <w:rFonts w:cs="Arial"/>
          <w:color w:val="auto"/>
          <w:u w:val="single"/>
          <w:lang w:val="fr-CH"/>
        </w:rPr>
        <w:t>, en particulier les espèces d’arbres.</w:t>
      </w:r>
      <w:r w:rsidR="007A638A" w:rsidRPr="003E07DD">
        <w:rPr>
          <w:rFonts w:cs="Arial"/>
          <w:color w:val="auto"/>
          <w:lang w:val="fr-CH"/>
        </w:rPr>
        <w:t xml:space="preserve"> </w:t>
      </w:r>
    </w:p>
    <w:p w14:paraId="7CC8E228" w14:textId="0D2D0D61" w:rsidR="00A8628C" w:rsidRPr="003E07DD" w:rsidRDefault="00A8628C" w:rsidP="00A8628C">
      <w:pPr>
        <w:ind w:left="-6" w:right="40"/>
        <w:rPr>
          <w:rFonts w:asciiTheme="minorBidi" w:hAnsiTheme="minorBidi" w:cstheme="minorBidi"/>
          <w:color w:val="auto"/>
          <w:lang w:val="fr-CH"/>
        </w:rPr>
      </w:pPr>
      <w:r w:rsidRPr="003E07DD">
        <w:rPr>
          <w:color w:val="auto"/>
          <w:lang w:val="fr-CH"/>
        </w:rPr>
        <w:t>Pour cette section, l’approche est adaptée à partir du raisonnement étayé dans l’Annexe 1 du docume</w:t>
      </w:r>
      <w:r w:rsidRPr="00652B7D">
        <w:rPr>
          <w:color w:val="auto"/>
          <w:lang w:val="fr-CH"/>
        </w:rPr>
        <w:t>nt</w:t>
      </w:r>
      <w:r w:rsidRPr="00A8628C">
        <w:rPr>
          <w:color w:val="7030A0"/>
          <w:lang w:val="fr-CH"/>
        </w:rPr>
        <w:t xml:space="preserve"> </w:t>
      </w:r>
      <w:hyperlink r:id="rId11">
        <w:r w:rsidRPr="00A656A0">
          <w:rPr>
            <w:rStyle w:val="Hyperlink"/>
            <w:lang w:val="fr-CH"/>
          </w:rPr>
          <w:t>https://cites.org/sites/default/files/eng/com/pc/25/Documents/E-PC25-12.pdf</w:t>
        </w:r>
      </w:hyperlink>
      <w:hyperlink r:id="rId12">
        <w:r w:rsidRPr="00652B7D">
          <w:rPr>
            <w:rStyle w:val="Hyperlink"/>
            <w:rFonts w:cs="Arial"/>
            <w:lang w:val="fr-CH"/>
          </w:rPr>
          <w:t>PC25 Doc. 12</w:t>
        </w:r>
      </w:hyperlink>
      <w:hyperlink r:id="rId13">
        <w:r w:rsidRPr="00652B7D">
          <w:rPr>
            <w:rStyle w:val="Hyperlink"/>
            <w:rFonts w:cs="Arial"/>
            <w:lang w:val="fr-CH"/>
          </w:rPr>
          <w:t>,</w:t>
        </w:r>
      </w:hyperlink>
      <w:r w:rsidR="003E07DD">
        <w:rPr>
          <w:rStyle w:val="Hyperlink"/>
          <w:rFonts w:asciiTheme="minorBidi" w:hAnsiTheme="minorBidi" w:cstheme="minorBidi"/>
          <w:color w:val="7030A0"/>
          <w:lang w:val="fr-CH"/>
        </w:rPr>
        <w:t xml:space="preserve"> </w:t>
      </w:r>
      <w:r w:rsidRPr="003E07DD">
        <w:rPr>
          <w:rFonts w:asciiTheme="minorBidi" w:hAnsiTheme="minorBidi" w:cstheme="minorBidi"/>
          <w:color w:val="auto"/>
          <w:lang w:val="fr-CH"/>
        </w:rPr>
        <w:t>et actualisée sur la base des Résolutions en vigueur après la CoP19.</w:t>
      </w:r>
    </w:p>
    <w:tbl>
      <w:tblPr>
        <w:tblStyle w:val="TableGrid1"/>
        <w:tblW w:w="9685" w:type="dxa"/>
        <w:tblInd w:w="0" w:type="dxa"/>
        <w:tblCellMar>
          <w:top w:w="46" w:type="dxa"/>
          <w:left w:w="108" w:type="dxa"/>
          <w:right w:w="50" w:type="dxa"/>
        </w:tblCellMar>
        <w:tblLook w:val="04A0" w:firstRow="1" w:lastRow="0" w:firstColumn="1" w:lastColumn="0" w:noHBand="0" w:noVBand="1"/>
      </w:tblPr>
      <w:tblGrid>
        <w:gridCol w:w="2092"/>
        <w:gridCol w:w="3960"/>
        <w:gridCol w:w="3633"/>
      </w:tblGrid>
      <w:tr w:rsidR="007A638A" w:rsidRPr="007C7B45" w14:paraId="46305F34" w14:textId="77777777">
        <w:trPr>
          <w:trHeight w:val="468"/>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9D7695" w14:textId="650568EE" w:rsidR="007A638A" w:rsidRPr="003E07DD" w:rsidRDefault="00FA787E" w:rsidP="00FA787E">
            <w:pPr>
              <w:spacing w:after="0"/>
              <w:ind w:right="57"/>
              <w:jc w:val="center"/>
              <w:rPr>
                <w:rFonts w:cs="Arial"/>
                <w:color w:val="auto"/>
                <w:sz w:val="20"/>
                <w:szCs w:val="20"/>
              </w:rPr>
            </w:pPr>
            <w:r w:rsidRPr="003E07DD">
              <w:rPr>
                <w:rFonts w:cs="Arial"/>
                <w:b/>
                <w:color w:val="auto"/>
                <w:sz w:val="20"/>
                <w:szCs w:val="20"/>
              </w:rPr>
              <w:t>Résolution</w:t>
            </w:r>
            <w:r w:rsidR="007A638A" w:rsidRPr="003E07DD">
              <w:rPr>
                <w:rFonts w:cs="Arial"/>
                <w:b/>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DB2092" w14:textId="3BB2A207" w:rsidR="007A638A" w:rsidRPr="003E07DD" w:rsidRDefault="00FA787E" w:rsidP="00FA787E">
            <w:pPr>
              <w:spacing w:after="0"/>
              <w:ind w:right="55"/>
              <w:jc w:val="center"/>
              <w:rPr>
                <w:rFonts w:cs="Arial"/>
                <w:color w:val="auto"/>
                <w:sz w:val="20"/>
                <w:szCs w:val="20"/>
              </w:rPr>
            </w:pPr>
            <w:r w:rsidRPr="003E07DD">
              <w:rPr>
                <w:rFonts w:cs="Arial"/>
                <w:b/>
                <w:color w:val="auto"/>
                <w:sz w:val="20"/>
                <w:szCs w:val="20"/>
              </w:rPr>
              <w:t>Titre</w:t>
            </w:r>
            <w:r w:rsidR="007A638A" w:rsidRPr="003E07DD">
              <w:rPr>
                <w:rFonts w:cs="Arial"/>
                <w:b/>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03BC42" w14:textId="70AA13F7" w:rsidR="00A439E1" w:rsidRPr="003E07DD" w:rsidRDefault="00FA787E" w:rsidP="00FA787E">
            <w:pPr>
              <w:spacing w:after="0"/>
              <w:ind w:left="92"/>
              <w:jc w:val="left"/>
              <w:rPr>
                <w:rFonts w:cs="Arial"/>
                <w:color w:val="auto"/>
                <w:sz w:val="20"/>
                <w:szCs w:val="20"/>
              </w:rPr>
            </w:pPr>
            <w:r w:rsidRPr="003E07DD">
              <w:rPr>
                <w:rFonts w:cs="Arial"/>
                <w:b/>
                <w:color w:val="auto"/>
                <w:sz w:val="20"/>
                <w:szCs w:val="20"/>
              </w:rPr>
              <w:t xml:space="preserve">Technique (opérationnel et scientifique) et/ou stratégique </w:t>
            </w:r>
            <w:r w:rsidR="007A638A" w:rsidRPr="003E07DD">
              <w:rPr>
                <w:rFonts w:cs="Arial"/>
                <w:b/>
                <w:color w:val="auto"/>
                <w:sz w:val="20"/>
                <w:szCs w:val="20"/>
              </w:rPr>
              <w:t xml:space="preserve"> </w:t>
            </w:r>
          </w:p>
          <w:p w14:paraId="1F52CA87" w14:textId="343E59B1" w:rsidR="007A638A" w:rsidRPr="003E07DD" w:rsidRDefault="007A638A">
            <w:pPr>
              <w:spacing w:after="0"/>
              <w:ind w:right="56"/>
              <w:jc w:val="center"/>
              <w:rPr>
                <w:rFonts w:cs="Arial"/>
                <w:color w:val="auto"/>
                <w:sz w:val="20"/>
                <w:szCs w:val="20"/>
              </w:rPr>
            </w:pPr>
          </w:p>
        </w:tc>
      </w:tr>
      <w:tr w:rsidR="007A638A" w:rsidRPr="007C7B45" w14:paraId="54F3138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136A4" w14:textId="5891ADCB" w:rsidR="007A638A" w:rsidRPr="003E07DD" w:rsidRDefault="002741F7" w:rsidP="002741F7">
            <w:pPr>
              <w:spacing w:after="0"/>
              <w:rPr>
                <w:rFonts w:cs="Arial"/>
                <w:color w:val="auto"/>
                <w:sz w:val="20"/>
                <w:szCs w:val="20"/>
              </w:rPr>
            </w:pPr>
            <w:r w:rsidRPr="003E07DD">
              <w:rPr>
                <w:rFonts w:cs="Arial"/>
                <w:color w:val="auto"/>
                <w:sz w:val="20"/>
                <w:szCs w:val="20"/>
              </w:rPr>
              <w:t>Résolution Conf. 9.19 (</w:t>
            </w:r>
            <w:proofErr w:type="spellStart"/>
            <w:r w:rsidRPr="003E07DD">
              <w:rPr>
                <w:rFonts w:cs="Arial"/>
                <w:color w:val="auto"/>
                <w:sz w:val="20"/>
                <w:szCs w:val="20"/>
              </w:rPr>
              <w:t>Rev</w:t>
            </w:r>
            <w:proofErr w:type="spellEnd"/>
            <w:r w:rsidRPr="003E07DD">
              <w:rPr>
                <w:rFonts w:cs="Arial"/>
                <w:color w:val="auto"/>
                <w:sz w:val="20"/>
                <w:szCs w:val="20"/>
              </w:rPr>
              <w:t>. CoP15)</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A08DF" w14:textId="06C42351" w:rsidR="007A638A" w:rsidRPr="003E07DD" w:rsidRDefault="002741F7" w:rsidP="002741F7">
            <w:pPr>
              <w:spacing w:after="0"/>
              <w:ind w:left="1" w:right="54"/>
              <w:rPr>
                <w:rFonts w:cs="Arial"/>
                <w:color w:val="auto"/>
                <w:sz w:val="20"/>
                <w:szCs w:val="20"/>
              </w:rPr>
            </w:pPr>
            <w:r w:rsidRPr="003E07DD">
              <w:rPr>
                <w:rFonts w:cs="Arial"/>
                <w:color w:val="auto"/>
                <w:sz w:val="20"/>
                <w:szCs w:val="20"/>
              </w:rPr>
              <w:t>Enregistrement des pépinières qui reproduisent artificiellement des spécimens d’espèces végétales inscrites à l’Annexe I à des fins d’exportation.</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9925" w14:textId="5F666A6D" w:rsidR="00A439E1" w:rsidRPr="003E07DD" w:rsidRDefault="002741F7" w:rsidP="002741F7">
            <w:pPr>
              <w:spacing w:after="0"/>
              <w:ind w:left="1"/>
              <w:jc w:val="left"/>
              <w:rPr>
                <w:rFonts w:cs="Arial"/>
                <w:color w:val="auto"/>
                <w:sz w:val="20"/>
                <w:szCs w:val="20"/>
              </w:rPr>
            </w:pPr>
            <w:r w:rsidRPr="003E07DD">
              <w:rPr>
                <w:rFonts w:cs="Arial"/>
                <w:color w:val="auto"/>
                <w:sz w:val="20"/>
                <w:szCs w:val="20"/>
              </w:rPr>
              <w:t>Technique</w:t>
            </w:r>
          </w:p>
          <w:p w14:paraId="52F5510E" w14:textId="77777777" w:rsidR="00A439E1" w:rsidRPr="003E07DD" w:rsidRDefault="00A439E1">
            <w:pPr>
              <w:spacing w:after="0"/>
              <w:ind w:left="1"/>
              <w:jc w:val="left"/>
              <w:rPr>
                <w:rFonts w:cs="Arial"/>
                <w:color w:val="auto"/>
                <w:sz w:val="20"/>
                <w:szCs w:val="20"/>
              </w:rPr>
            </w:pPr>
          </w:p>
          <w:p w14:paraId="40E965CC" w14:textId="36D29BB0" w:rsidR="007A638A" w:rsidRPr="003E07DD" w:rsidRDefault="002741F7" w:rsidP="002741F7">
            <w:pPr>
              <w:spacing w:after="0"/>
              <w:ind w:left="1"/>
              <w:jc w:val="left"/>
              <w:rPr>
                <w:rFonts w:cs="Arial"/>
                <w:color w:val="auto"/>
                <w:sz w:val="20"/>
                <w:szCs w:val="20"/>
              </w:rPr>
            </w:pPr>
            <w:r w:rsidRPr="003E07DD">
              <w:rPr>
                <w:rFonts w:cs="Arial"/>
                <w:color w:val="auto"/>
                <w:sz w:val="20"/>
                <w:szCs w:val="20"/>
              </w:rPr>
              <w:t>Orientations sur le processus et les conditions d’enregistrement des pépinières, y compris le rôle des pépinières commerciales, de l’instance gestionnaire et du Secrétariat.</w:t>
            </w:r>
          </w:p>
        </w:tc>
      </w:tr>
      <w:tr w:rsidR="007A638A" w:rsidRPr="007C7B45" w14:paraId="191EB884" w14:textId="77777777">
        <w:trPr>
          <w:trHeight w:val="679"/>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383F" w14:textId="50A6101D" w:rsidR="007A638A" w:rsidRPr="003E07DD" w:rsidRDefault="002741F7" w:rsidP="002741F7">
            <w:pPr>
              <w:spacing w:after="0"/>
              <w:rPr>
                <w:rFonts w:cs="Arial"/>
                <w:color w:val="auto"/>
                <w:sz w:val="20"/>
                <w:szCs w:val="20"/>
              </w:rPr>
            </w:pPr>
            <w:r w:rsidRPr="003E07DD">
              <w:rPr>
                <w:rFonts w:cs="Arial"/>
                <w:color w:val="auto"/>
                <w:sz w:val="20"/>
                <w:szCs w:val="20"/>
              </w:rPr>
              <w:t>Résolution Conf. 10.13 (</w:t>
            </w:r>
            <w:proofErr w:type="spellStart"/>
            <w:r w:rsidRPr="003E07DD">
              <w:rPr>
                <w:rFonts w:cs="Arial"/>
                <w:color w:val="auto"/>
                <w:sz w:val="20"/>
                <w:szCs w:val="20"/>
              </w:rPr>
              <w:t>Rev</w:t>
            </w:r>
            <w:proofErr w:type="spellEnd"/>
            <w:r w:rsidRPr="003E07DD">
              <w:rPr>
                <w:rFonts w:cs="Arial"/>
                <w:color w:val="auto"/>
                <w:sz w:val="20"/>
                <w:szCs w:val="20"/>
              </w:rPr>
              <w:t>. CoP18)</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072" w14:textId="6C049617" w:rsidR="007A638A" w:rsidRPr="003E07DD" w:rsidRDefault="002741F7" w:rsidP="002741F7">
            <w:pPr>
              <w:spacing w:after="0"/>
              <w:ind w:left="1"/>
              <w:rPr>
                <w:rFonts w:cs="Arial"/>
                <w:color w:val="auto"/>
                <w:sz w:val="20"/>
                <w:szCs w:val="20"/>
              </w:rPr>
            </w:pPr>
            <w:r w:rsidRPr="003E07DD">
              <w:rPr>
                <w:rFonts w:cs="Arial"/>
                <w:color w:val="auto"/>
                <w:sz w:val="20"/>
                <w:szCs w:val="20"/>
              </w:rPr>
              <w:t>Application de la Convention aux espèces d’arbres</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45AB1" w14:textId="79A0D299" w:rsidR="00A439E1" w:rsidRPr="003E07DD" w:rsidRDefault="002741F7" w:rsidP="002741F7">
            <w:pPr>
              <w:spacing w:after="0"/>
              <w:ind w:right="53"/>
              <w:rPr>
                <w:rFonts w:cs="Arial"/>
                <w:color w:val="auto"/>
                <w:sz w:val="20"/>
                <w:szCs w:val="20"/>
              </w:rPr>
            </w:pPr>
            <w:r w:rsidRPr="003E07DD">
              <w:rPr>
                <w:rFonts w:cs="Arial"/>
                <w:color w:val="auto"/>
                <w:sz w:val="20"/>
                <w:szCs w:val="20"/>
              </w:rPr>
              <w:t>Technique</w:t>
            </w:r>
          </w:p>
          <w:p w14:paraId="5C1A23B3" w14:textId="77777777" w:rsidR="00A439E1" w:rsidRPr="003E07DD" w:rsidRDefault="00A439E1">
            <w:pPr>
              <w:spacing w:after="0"/>
              <w:ind w:right="53"/>
              <w:rPr>
                <w:rFonts w:cs="Arial"/>
                <w:color w:val="auto"/>
                <w:sz w:val="20"/>
                <w:szCs w:val="20"/>
              </w:rPr>
            </w:pPr>
          </w:p>
          <w:p w14:paraId="498547C2" w14:textId="24B339DF" w:rsidR="007A638A" w:rsidRPr="003E07DD" w:rsidRDefault="002741F7" w:rsidP="002741F7">
            <w:pPr>
              <w:spacing w:after="0"/>
              <w:ind w:right="53"/>
              <w:rPr>
                <w:rFonts w:cs="Arial"/>
                <w:color w:val="auto"/>
                <w:sz w:val="20"/>
                <w:szCs w:val="20"/>
              </w:rPr>
            </w:pPr>
            <w:r w:rsidRPr="003E07DD">
              <w:rPr>
                <w:rFonts w:cs="Arial"/>
                <w:color w:val="auto"/>
                <w:sz w:val="20"/>
                <w:szCs w:val="20"/>
              </w:rPr>
              <w:t>Orientations relatives à la consultation des organisations internationales sur les propositions d’amendement ; définitions à appliquer concernant les annotations relatives aux espèces d’arbres et aux espèces « reproduites artificiellement </w:t>
            </w:r>
            <w:proofErr w:type="gramStart"/>
            <w:r w:rsidRPr="003E07DD">
              <w:rPr>
                <w:rFonts w:cs="Arial"/>
                <w:color w:val="auto"/>
                <w:sz w:val="20"/>
                <w:szCs w:val="20"/>
              </w:rPr>
              <w:t>»;</w:t>
            </w:r>
            <w:proofErr w:type="gramEnd"/>
            <w:r w:rsidRPr="003E07DD">
              <w:rPr>
                <w:rFonts w:cs="Arial"/>
                <w:color w:val="auto"/>
                <w:sz w:val="20"/>
                <w:szCs w:val="20"/>
              </w:rPr>
              <w:t xml:space="preserve"> établissement des quotas d’exportation ; identification des espèces d’arbres et criminalistique ; et amélioration de la compréhension par le grand public du rôle de la Convention dans la conservation des espèces d’arbres.</w:t>
            </w:r>
          </w:p>
        </w:tc>
      </w:tr>
      <w:tr w:rsidR="007A638A" w:rsidRPr="007C7B45" w14:paraId="0F28A180" w14:textId="77777777">
        <w:trPr>
          <w:trHeight w:val="51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6E07" w14:textId="46A5B815" w:rsidR="007A638A" w:rsidRPr="003E07DD" w:rsidRDefault="002741F7" w:rsidP="002741F7">
            <w:pPr>
              <w:spacing w:after="0"/>
              <w:rPr>
                <w:rFonts w:cs="Arial"/>
                <w:color w:val="auto"/>
                <w:sz w:val="20"/>
                <w:szCs w:val="20"/>
              </w:rPr>
            </w:pPr>
            <w:r w:rsidRPr="003E07DD">
              <w:rPr>
                <w:rFonts w:cs="Arial"/>
                <w:color w:val="auto"/>
                <w:sz w:val="20"/>
                <w:szCs w:val="20"/>
              </w:rPr>
              <w:t>Résolution Conf. 11.11 (</w:t>
            </w:r>
            <w:proofErr w:type="spellStart"/>
            <w:r w:rsidRPr="003E07DD">
              <w:rPr>
                <w:rFonts w:cs="Arial"/>
                <w:color w:val="auto"/>
                <w:sz w:val="20"/>
                <w:szCs w:val="20"/>
              </w:rPr>
              <w:t>Rev</w:t>
            </w:r>
            <w:proofErr w:type="spellEnd"/>
            <w:r w:rsidRPr="003E07DD">
              <w:rPr>
                <w:rFonts w:cs="Arial"/>
                <w:color w:val="auto"/>
                <w:sz w:val="20"/>
                <w:szCs w:val="20"/>
              </w:rPr>
              <w:t>. CoP18)</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E6B8" w14:textId="175B3B82" w:rsidR="007A638A" w:rsidRPr="003E07DD" w:rsidRDefault="002741F7" w:rsidP="002741F7">
            <w:pPr>
              <w:spacing w:after="0"/>
              <w:ind w:left="1"/>
              <w:jc w:val="left"/>
              <w:rPr>
                <w:rFonts w:cs="Arial"/>
                <w:color w:val="auto"/>
                <w:sz w:val="20"/>
                <w:szCs w:val="20"/>
              </w:rPr>
            </w:pPr>
            <w:r w:rsidRPr="003E07DD">
              <w:rPr>
                <w:rFonts w:cs="Arial"/>
                <w:color w:val="auto"/>
                <w:sz w:val="20"/>
                <w:szCs w:val="20"/>
              </w:rPr>
              <w:t>Réglementation du commerce des plantes</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C480A" w14:textId="18945F2E" w:rsidR="00A439E1" w:rsidRPr="003E07DD" w:rsidRDefault="002741F7" w:rsidP="002741F7">
            <w:pPr>
              <w:spacing w:after="0"/>
              <w:ind w:left="1" w:right="53"/>
              <w:rPr>
                <w:rFonts w:cs="Arial"/>
                <w:color w:val="auto"/>
                <w:sz w:val="20"/>
                <w:szCs w:val="20"/>
              </w:rPr>
            </w:pPr>
            <w:r w:rsidRPr="003E07DD">
              <w:rPr>
                <w:rFonts w:cs="Arial"/>
                <w:color w:val="auto"/>
                <w:sz w:val="20"/>
                <w:szCs w:val="20"/>
              </w:rPr>
              <w:t>Technique</w:t>
            </w:r>
          </w:p>
          <w:p w14:paraId="073CD70C" w14:textId="77777777" w:rsidR="00A439E1" w:rsidRPr="003E07DD" w:rsidRDefault="00A439E1">
            <w:pPr>
              <w:spacing w:after="0"/>
              <w:ind w:left="1" w:right="53"/>
              <w:rPr>
                <w:rFonts w:cs="Arial"/>
                <w:color w:val="auto"/>
                <w:sz w:val="20"/>
                <w:szCs w:val="20"/>
              </w:rPr>
            </w:pPr>
          </w:p>
          <w:p w14:paraId="5DDD5592" w14:textId="074CF694" w:rsidR="007A638A" w:rsidRPr="003E07DD" w:rsidRDefault="002741F7" w:rsidP="002741F7">
            <w:pPr>
              <w:spacing w:after="0"/>
              <w:ind w:left="1" w:right="53"/>
              <w:rPr>
                <w:rFonts w:cs="Arial"/>
                <w:color w:val="auto"/>
                <w:sz w:val="20"/>
                <w:szCs w:val="20"/>
              </w:rPr>
            </w:pPr>
            <w:r w:rsidRPr="003E07DD">
              <w:rPr>
                <w:rFonts w:cs="Arial"/>
                <w:color w:val="auto"/>
                <w:sz w:val="20"/>
                <w:szCs w:val="20"/>
              </w:rPr>
              <w:t xml:space="preserve">Orientations sur la définition des termes « reproduits artificiellement », plantes greffées, hybrides, cultivars, plantules en flacons d’orchidées inscrites à l’Annexe I ; définition de l’expression </w:t>
            </w:r>
            <w:r w:rsidRPr="003E07DD">
              <w:rPr>
                <w:rFonts w:cs="Arial"/>
                <w:color w:val="auto"/>
                <w:sz w:val="20"/>
                <w:szCs w:val="20"/>
              </w:rPr>
              <w:lastRenderedPageBreak/>
              <w:t>« plante obtenue par production assistée », spécimens de plantes faisant l’objet d’un commerce international en vertu de dérogations, lutte contre la fraude liée aux espèces végétales, commerce de spécimens végétaux récupérés, et éducation à la conservation des plantes par le biais de la CITES.</w:t>
            </w:r>
          </w:p>
        </w:tc>
      </w:tr>
      <w:tr w:rsidR="007A638A" w:rsidRPr="007C7B45" w14:paraId="7C6A5CCD"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6EB6" w14:textId="2BD0F4CA" w:rsidR="007A638A" w:rsidRPr="003E07DD" w:rsidRDefault="002741F7" w:rsidP="002741F7">
            <w:pPr>
              <w:spacing w:after="0"/>
              <w:rPr>
                <w:rFonts w:cs="Arial"/>
                <w:color w:val="auto"/>
                <w:sz w:val="20"/>
                <w:szCs w:val="20"/>
              </w:rPr>
            </w:pPr>
            <w:r w:rsidRPr="003E07DD">
              <w:rPr>
                <w:rFonts w:cs="Arial"/>
                <w:color w:val="auto"/>
                <w:sz w:val="20"/>
                <w:szCs w:val="20"/>
              </w:rPr>
              <w:lastRenderedPageBreak/>
              <w:t>Résolution Conf. 12.11 (</w:t>
            </w:r>
            <w:proofErr w:type="spellStart"/>
            <w:r w:rsidRPr="003E07DD">
              <w:rPr>
                <w:rFonts w:cs="Arial"/>
                <w:color w:val="auto"/>
                <w:sz w:val="20"/>
                <w:szCs w:val="20"/>
              </w:rPr>
              <w:t>Rev</w:t>
            </w:r>
            <w:proofErr w:type="spellEnd"/>
            <w:r w:rsidRPr="003E07DD">
              <w:rPr>
                <w:rFonts w:cs="Arial"/>
                <w:color w:val="auto"/>
                <w:sz w:val="20"/>
                <w:szCs w:val="20"/>
              </w:rPr>
              <w:t>. CoP19)</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C1356" w14:textId="1C386B3D" w:rsidR="007A638A" w:rsidRPr="003E07DD" w:rsidRDefault="00E91351" w:rsidP="00E91351">
            <w:pPr>
              <w:spacing w:after="0"/>
              <w:ind w:left="1"/>
              <w:jc w:val="left"/>
              <w:rPr>
                <w:rFonts w:cs="Arial"/>
                <w:color w:val="auto"/>
                <w:sz w:val="20"/>
                <w:szCs w:val="20"/>
              </w:rPr>
            </w:pPr>
            <w:r w:rsidRPr="003E07DD">
              <w:rPr>
                <w:rFonts w:cs="Arial"/>
                <w:color w:val="auto"/>
                <w:sz w:val="20"/>
                <w:szCs w:val="20"/>
              </w:rPr>
              <w:t>Nomenclature normalisée</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B9DD5" w14:textId="72603501" w:rsidR="00A439E1" w:rsidRPr="003E07DD" w:rsidRDefault="00E91351" w:rsidP="00E91351">
            <w:pPr>
              <w:spacing w:after="0"/>
              <w:ind w:left="1" w:right="55"/>
              <w:rPr>
                <w:rFonts w:cs="Arial"/>
                <w:color w:val="auto"/>
                <w:sz w:val="20"/>
                <w:szCs w:val="20"/>
              </w:rPr>
            </w:pPr>
            <w:r w:rsidRPr="003E07DD">
              <w:rPr>
                <w:rFonts w:cs="Arial"/>
                <w:color w:val="auto"/>
                <w:sz w:val="20"/>
                <w:szCs w:val="20"/>
              </w:rPr>
              <w:t>Technique</w:t>
            </w:r>
          </w:p>
          <w:p w14:paraId="3C32D6E0" w14:textId="77777777" w:rsidR="00A439E1" w:rsidRPr="003E07DD" w:rsidRDefault="00A439E1">
            <w:pPr>
              <w:spacing w:after="0"/>
              <w:ind w:left="1" w:right="55"/>
              <w:rPr>
                <w:rFonts w:cs="Arial"/>
                <w:color w:val="auto"/>
                <w:sz w:val="20"/>
                <w:szCs w:val="20"/>
              </w:rPr>
            </w:pPr>
          </w:p>
          <w:p w14:paraId="02511A4B" w14:textId="15BDB7F1" w:rsidR="007A638A" w:rsidRPr="003E07DD" w:rsidRDefault="00E91351" w:rsidP="00E91351">
            <w:pPr>
              <w:spacing w:after="0"/>
              <w:ind w:left="1" w:right="55"/>
              <w:rPr>
                <w:rFonts w:cs="Arial"/>
                <w:color w:val="auto"/>
                <w:sz w:val="20"/>
                <w:szCs w:val="20"/>
              </w:rPr>
            </w:pPr>
            <w:r w:rsidRPr="003E07DD">
              <w:rPr>
                <w:rFonts w:cs="Arial"/>
                <w:color w:val="auto"/>
                <w:sz w:val="20"/>
                <w:szCs w:val="20"/>
              </w:rPr>
              <w:t>Orientations sur les questions de nomenclature, y compris une liste des références normalisées adoptées par la Conférence des Parties.</w:t>
            </w:r>
            <w:r w:rsidR="007A638A" w:rsidRPr="003E07DD">
              <w:rPr>
                <w:rFonts w:cs="Arial"/>
                <w:color w:val="auto"/>
                <w:sz w:val="20"/>
                <w:szCs w:val="20"/>
              </w:rPr>
              <w:t xml:space="preserve"> </w:t>
            </w:r>
            <w:r w:rsidRPr="003E07DD">
              <w:rPr>
                <w:rFonts w:cs="Arial"/>
                <w:color w:val="auto"/>
                <w:sz w:val="20"/>
                <w:szCs w:val="20"/>
              </w:rPr>
              <w:t>Il est indispensable que toutes les autorités CITES aient une même compréhension des noms scientifiques lorsqu’il s’agit d’éclairer les avis de commerce non préjudiciable, les processus d’octroi des permis et la lutte contre la fraude liée aux espèces d’arbres inscrites à la CITES.</w:t>
            </w:r>
            <w:r w:rsidR="007A638A" w:rsidRPr="003E07DD">
              <w:rPr>
                <w:rFonts w:cs="Arial"/>
                <w:color w:val="auto"/>
                <w:sz w:val="20"/>
                <w:szCs w:val="20"/>
              </w:rPr>
              <w:t xml:space="preserve"> </w:t>
            </w:r>
            <w:r w:rsidRPr="003E07DD">
              <w:rPr>
                <w:rFonts w:cs="Arial"/>
                <w:color w:val="auto"/>
                <w:sz w:val="20"/>
                <w:szCs w:val="20"/>
              </w:rPr>
              <w:t>Il convient de noter que les références ou listes normalisées de la CITES ne visent pas à suivre le rythme de chaque nouvelle étude ou traitement taxonomique, sauf lorsqu’elles peuvent avoir une incidence sur la mise en œuvre de la CITES.</w:t>
            </w:r>
          </w:p>
        </w:tc>
      </w:tr>
      <w:tr w:rsidR="007A638A" w:rsidRPr="007C7B45" w14:paraId="7004F664" w14:textId="77777777">
        <w:trPr>
          <w:trHeight w:val="701"/>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0F1A" w14:textId="4BDDBA56" w:rsidR="007A638A" w:rsidRPr="003E07DD" w:rsidRDefault="00E91351" w:rsidP="00E91351">
            <w:pPr>
              <w:spacing w:after="0"/>
              <w:jc w:val="left"/>
              <w:rPr>
                <w:rFonts w:cs="Arial"/>
                <w:color w:val="auto"/>
                <w:sz w:val="20"/>
                <w:szCs w:val="20"/>
              </w:rPr>
            </w:pPr>
            <w:r w:rsidRPr="003E07DD">
              <w:rPr>
                <w:rFonts w:cs="Arial"/>
                <w:color w:val="auto"/>
                <w:sz w:val="20"/>
                <w:szCs w:val="20"/>
              </w:rPr>
              <w:t>Résolution Conf. 14.4</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0EC5" w14:textId="625CC9C1" w:rsidR="007A638A" w:rsidRPr="003E07DD" w:rsidRDefault="00E91351" w:rsidP="00E91351">
            <w:pPr>
              <w:spacing w:after="0"/>
              <w:ind w:left="1" w:right="56"/>
              <w:rPr>
                <w:rFonts w:cs="Arial"/>
                <w:color w:val="auto"/>
                <w:sz w:val="20"/>
                <w:szCs w:val="20"/>
              </w:rPr>
            </w:pPr>
            <w:r w:rsidRPr="003E07DD">
              <w:rPr>
                <w:rFonts w:cs="Arial"/>
                <w:color w:val="auto"/>
                <w:sz w:val="20"/>
                <w:szCs w:val="20"/>
              </w:rPr>
              <w:t>Coopération entre la CITES et l'OIBT concernant le commerce des bois tropicaux</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9B24C" w14:textId="6ED34241" w:rsidR="00A439E1" w:rsidRPr="003E07DD" w:rsidRDefault="00E91351" w:rsidP="00E91351">
            <w:pPr>
              <w:spacing w:after="0"/>
              <w:ind w:left="1"/>
              <w:rPr>
                <w:rFonts w:cs="Arial"/>
                <w:color w:val="auto"/>
                <w:sz w:val="20"/>
                <w:szCs w:val="20"/>
              </w:rPr>
            </w:pPr>
            <w:r w:rsidRPr="003E07DD">
              <w:rPr>
                <w:rFonts w:cs="Arial"/>
                <w:color w:val="auto"/>
                <w:sz w:val="20"/>
                <w:szCs w:val="20"/>
              </w:rPr>
              <w:t>Stratégique</w:t>
            </w:r>
          </w:p>
          <w:p w14:paraId="1EE92B28" w14:textId="77777777" w:rsidR="00A439E1" w:rsidRPr="003E07DD" w:rsidRDefault="00A439E1">
            <w:pPr>
              <w:spacing w:after="0"/>
              <w:ind w:left="1"/>
              <w:rPr>
                <w:rFonts w:cs="Arial"/>
                <w:color w:val="auto"/>
                <w:sz w:val="20"/>
                <w:szCs w:val="20"/>
              </w:rPr>
            </w:pPr>
          </w:p>
          <w:p w14:paraId="5C0CBEEA" w14:textId="49BD7B3E" w:rsidR="007A638A" w:rsidRPr="003E07DD" w:rsidRDefault="00E91351" w:rsidP="00E91351">
            <w:pPr>
              <w:spacing w:after="0"/>
              <w:ind w:left="1"/>
              <w:rPr>
                <w:rFonts w:cs="Arial"/>
                <w:color w:val="auto"/>
                <w:sz w:val="20"/>
                <w:szCs w:val="20"/>
              </w:rPr>
            </w:pPr>
            <w:r w:rsidRPr="003E07DD">
              <w:rPr>
                <w:rFonts w:cs="Arial"/>
                <w:color w:val="auto"/>
                <w:sz w:val="20"/>
                <w:szCs w:val="20"/>
              </w:rPr>
              <w:t>Orientations sur les consultations avec l’OIBT sur les propositions d’amendement et autres questions relatives à la coopération avec l’OIBT sur les espèces de bois tropicaux menacées par le commerce international et sur la gestion durable des forêts produisant de bois tropicaux.</w:t>
            </w:r>
          </w:p>
        </w:tc>
      </w:tr>
      <w:tr w:rsidR="007A638A" w:rsidRPr="007C7B45" w14:paraId="40BB68DE"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3CF0" w14:textId="2E53E1A3" w:rsidR="007A638A" w:rsidRPr="003E07DD" w:rsidRDefault="00E91351" w:rsidP="00E91351">
            <w:pPr>
              <w:spacing w:after="0"/>
              <w:jc w:val="left"/>
              <w:rPr>
                <w:rFonts w:cs="Arial"/>
                <w:color w:val="auto"/>
                <w:sz w:val="20"/>
                <w:szCs w:val="20"/>
              </w:rPr>
            </w:pPr>
            <w:r w:rsidRPr="003E07DD">
              <w:rPr>
                <w:rFonts w:cs="Arial"/>
                <w:color w:val="auto"/>
                <w:sz w:val="20"/>
                <w:szCs w:val="20"/>
              </w:rPr>
              <w:t>Résolution Conf. 16.10</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7782A" w14:textId="6113D8E3" w:rsidR="007A638A" w:rsidRPr="003E07DD" w:rsidRDefault="00E91351" w:rsidP="00E91351">
            <w:pPr>
              <w:spacing w:after="0"/>
              <w:ind w:left="1"/>
              <w:rPr>
                <w:rFonts w:cs="Arial"/>
                <w:color w:val="auto"/>
                <w:sz w:val="20"/>
                <w:szCs w:val="20"/>
              </w:rPr>
            </w:pPr>
            <w:r w:rsidRPr="003E07DD">
              <w:rPr>
                <w:rFonts w:cs="Arial"/>
                <w:color w:val="auto"/>
                <w:sz w:val="20"/>
                <w:szCs w:val="20"/>
              </w:rPr>
              <w:t>Application de la Convention aux taxons produisant du bois d’agar</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2091C" w14:textId="32400C8B" w:rsidR="00A439E1" w:rsidRPr="003E07DD" w:rsidRDefault="00E91351" w:rsidP="00E91351">
            <w:pPr>
              <w:spacing w:after="0"/>
              <w:ind w:left="1" w:right="53"/>
              <w:rPr>
                <w:rFonts w:cs="Arial"/>
                <w:color w:val="auto"/>
                <w:sz w:val="20"/>
                <w:szCs w:val="20"/>
              </w:rPr>
            </w:pPr>
            <w:r w:rsidRPr="003E07DD">
              <w:rPr>
                <w:rFonts w:cs="Arial"/>
                <w:color w:val="auto"/>
                <w:sz w:val="20"/>
                <w:szCs w:val="20"/>
              </w:rPr>
              <w:t>Technique</w:t>
            </w:r>
          </w:p>
          <w:p w14:paraId="43D7AE5B" w14:textId="77777777" w:rsidR="00A439E1" w:rsidRPr="003E07DD" w:rsidRDefault="00A439E1">
            <w:pPr>
              <w:spacing w:after="0"/>
              <w:ind w:left="1" w:right="53"/>
              <w:rPr>
                <w:rFonts w:cs="Arial"/>
                <w:color w:val="auto"/>
                <w:sz w:val="20"/>
                <w:szCs w:val="20"/>
              </w:rPr>
            </w:pPr>
          </w:p>
          <w:p w14:paraId="6CDBA0F9" w14:textId="50077718" w:rsidR="007A638A" w:rsidRPr="003E07DD" w:rsidRDefault="00E91351" w:rsidP="00E91351">
            <w:pPr>
              <w:spacing w:after="0"/>
              <w:ind w:left="1" w:right="53"/>
              <w:rPr>
                <w:rFonts w:cs="Arial"/>
                <w:color w:val="auto"/>
                <w:sz w:val="20"/>
                <w:szCs w:val="20"/>
              </w:rPr>
            </w:pPr>
            <w:r w:rsidRPr="003E07DD">
              <w:rPr>
                <w:rFonts w:cs="Arial"/>
                <w:color w:val="auto"/>
                <w:sz w:val="20"/>
                <w:szCs w:val="20"/>
              </w:rPr>
              <w:t>Orientations sur les spécimens reproduits artificiellement pour les taxons producteurs de bois d’agar, avis de commerce non préjudiciable et contrôles de la gestion et du commerce.</w:t>
            </w:r>
          </w:p>
        </w:tc>
      </w:tr>
      <w:tr w:rsidR="007A638A" w:rsidRPr="007C7B45" w14:paraId="4C082C13"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E297" w14:textId="1885B894" w:rsidR="007A638A" w:rsidRPr="003E07DD" w:rsidRDefault="00E91351" w:rsidP="00E91351">
            <w:pPr>
              <w:spacing w:after="0"/>
              <w:jc w:val="left"/>
              <w:rPr>
                <w:rFonts w:cs="Arial"/>
                <w:color w:val="auto"/>
                <w:sz w:val="20"/>
                <w:szCs w:val="20"/>
              </w:rPr>
            </w:pPr>
            <w:r w:rsidRPr="003E07DD">
              <w:rPr>
                <w:rFonts w:cs="Arial"/>
                <w:color w:val="auto"/>
                <w:sz w:val="20"/>
                <w:szCs w:val="20"/>
              </w:rPr>
              <w:t>Résolution Conf. 16.4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A1CF" w14:textId="6930D541" w:rsidR="007A638A" w:rsidRPr="003E07DD" w:rsidRDefault="00933AB3" w:rsidP="00933AB3">
            <w:pPr>
              <w:spacing w:after="0"/>
              <w:jc w:val="left"/>
              <w:rPr>
                <w:rFonts w:cs="Arial"/>
                <w:color w:val="auto"/>
                <w:sz w:val="20"/>
                <w:szCs w:val="20"/>
              </w:rPr>
            </w:pPr>
            <w:r w:rsidRPr="003E07DD">
              <w:rPr>
                <w:rFonts w:cs="Arial"/>
                <w:color w:val="auto"/>
                <w:sz w:val="20"/>
                <w:szCs w:val="20"/>
              </w:rPr>
              <w:t>Coopération de la CITES avec d’autres conventions relatives à la biodiversité</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662C6" w14:textId="65ADC480" w:rsidR="00A439E1" w:rsidRPr="003E07DD" w:rsidRDefault="00933AB3" w:rsidP="00933AB3">
            <w:pPr>
              <w:spacing w:after="21"/>
              <w:jc w:val="left"/>
              <w:rPr>
                <w:rFonts w:cs="Arial"/>
                <w:color w:val="auto"/>
                <w:sz w:val="20"/>
                <w:szCs w:val="20"/>
              </w:rPr>
            </w:pPr>
            <w:r w:rsidRPr="003E07DD">
              <w:rPr>
                <w:rFonts w:cs="Arial"/>
                <w:color w:val="auto"/>
                <w:sz w:val="20"/>
                <w:szCs w:val="20"/>
              </w:rPr>
              <w:t>Stratégique</w:t>
            </w:r>
          </w:p>
          <w:p w14:paraId="57730EF1" w14:textId="77777777" w:rsidR="00A439E1" w:rsidRPr="003E07DD" w:rsidRDefault="00A439E1">
            <w:pPr>
              <w:spacing w:after="21"/>
              <w:jc w:val="left"/>
              <w:rPr>
                <w:rFonts w:cs="Arial"/>
                <w:color w:val="auto"/>
                <w:sz w:val="20"/>
                <w:szCs w:val="20"/>
              </w:rPr>
            </w:pPr>
          </w:p>
          <w:p w14:paraId="671FDA57" w14:textId="6DBF3AA9" w:rsidR="007A638A" w:rsidRPr="003E07DD" w:rsidRDefault="00933AB3" w:rsidP="00933AB3">
            <w:pPr>
              <w:spacing w:after="21"/>
              <w:jc w:val="left"/>
              <w:rPr>
                <w:rFonts w:cs="Arial"/>
                <w:color w:val="auto"/>
                <w:sz w:val="20"/>
                <w:szCs w:val="20"/>
              </w:rPr>
            </w:pPr>
            <w:r w:rsidRPr="003E07DD">
              <w:rPr>
                <w:rFonts w:cs="Arial"/>
                <w:color w:val="auto"/>
                <w:sz w:val="20"/>
                <w:szCs w:val="20"/>
              </w:rPr>
              <w:t>Orientations sur le renforcement de la coopération, de la coordination et des synergies entre les conventions relatives à la biodiversité à tous les niveaux pertinents.</w:t>
            </w:r>
          </w:p>
        </w:tc>
      </w:tr>
      <w:tr w:rsidR="007A638A" w:rsidRPr="007C7B45" w14:paraId="59D7CAF8" w14:textId="77777777">
        <w:trPr>
          <w:trHeight w:val="65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A107" w14:textId="23AD5382" w:rsidR="007A638A" w:rsidRPr="003E07DD" w:rsidRDefault="00933AB3" w:rsidP="00933AB3">
            <w:pPr>
              <w:spacing w:after="0"/>
              <w:jc w:val="left"/>
              <w:rPr>
                <w:rFonts w:cs="Arial"/>
                <w:color w:val="auto"/>
                <w:sz w:val="20"/>
                <w:szCs w:val="20"/>
              </w:rPr>
            </w:pPr>
            <w:r w:rsidRPr="003E07DD">
              <w:rPr>
                <w:rFonts w:cs="Arial"/>
                <w:color w:val="auto"/>
                <w:sz w:val="20"/>
                <w:szCs w:val="20"/>
              </w:rPr>
              <w:t>Résolution Conf. 16.5</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FA013" w14:textId="28AE12FB" w:rsidR="007A638A" w:rsidRPr="003E07DD" w:rsidRDefault="00933AB3" w:rsidP="00A8628C">
            <w:pPr>
              <w:spacing w:after="0"/>
              <w:jc w:val="left"/>
              <w:rPr>
                <w:rFonts w:cs="Arial"/>
                <w:color w:val="auto"/>
                <w:sz w:val="20"/>
                <w:szCs w:val="20"/>
              </w:rPr>
            </w:pPr>
            <w:r w:rsidRPr="003E07DD">
              <w:rPr>
                <w:rFonts w:cs="Arial"/>
                <w:color w:val="auto"/>
                <w:sz w:val="20"/>
                <w:szCs w:val="20"/>
              </w:rPr>
              <w:t>Coopération avec la Stratégie mondiale pour la conservation des plantes de la Convention sur la diversité biologique</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8FD3" w14:textId="0FA1271C" w:rsidR="00A439E1" w:rsidRPr="003E07DD" w:rsidRDefault="00933AB3" w:rsidP="00933AB3">
            <w:pPr>
              <w:spacing w:after="0"/>
              <w:ind w:right="53"/>
              <w:rPr>
                <w:rFonts w:cs="Arial"/>
                <w:color w:val="auto"/>
                <w:sz w:val="20"/>
                <w:szCs w:val="20"/>
              </w:rPr>
            </w:pPr>
            <w:r w:rsidRPr="003E07DD">
              <w:rPr>
                <w:rFonts w:cs="Arial"/>
                <w:color w:val="auto"/>
                <w:sz w:val="20"/>
                <w:szCs w:val="20"/>
              </w:rPr>
              <w:t>Stratégique</w:t>
            </w:r>
          </w:p>
          <w:p w14:paraId="5A42021D" w14:textId="77777777" w:rsidR="00A439E1" w:rsidRPr="003E07DD" w:rsidRDefault="00A439E1">
            <w:pPr>
              <w:spacing w:after="0"/>
              <w:ind w:right="53"/>
              <w:rPr>
                <w:rFonts w:cs="Arial"/>
                <w:color w:val="auto"/>
                <w:sz w:val="20"/>
                <w:szCs w:val="20"/>
              </w:rPr>
            </w:pPr>
          </w:p>
          <w:p w14:paraId="2356F3E8" w14:textId="1EB985D0" w:rsidR="007A638A" w:rsidRPr="003E07DD" w:rsidRDefault="00933AB3" w:rsidP="00933AB3">
            <w:pPr>
              <w:spacing w:after="0"/>
              <w:ind w:right="53"/>
              <w:rPr>
                <w:rFonts w:cs="Arial"/>
                <w:color w:val="auto"/>
                <w:sz w:val="20"/>
                <w:szCs w:val="20"/>
              </w:rPr>
            </w:pPr>
            <w:r w:rsidRPr="003E07DD">
              <w:rPr>
                <w:rFonts w:cs="Arial"/>
                <w:color w:val="auto"/>
                <w:sz w:val="20"/>
                <w:szCs w:val="20"/>
              </w:rPr>
              <w:t xml:space="preserve">Orientations sur la contribution potentielle de la CITES aux objectifs et cibles de la Stratégie mondiale pour la conservation des plantes 2011-2020 par le biais d’activités et de produits </w:t>
            </w:r>
            <w:r w:rsidRPr="003E07DD">
              <w:rPr>
                <w:rFonts w:cs="Arial"/>
                <w:color w:val="auto"/>
                <w:sz w:val="20"/>
                <w:szCs w:val="20"/>
              </w:rPr>
              <w:lastRenderedPageBreak/>
              <w:t>énumérés dans une annexe à la Résolution.</w:t>
            </w:r>
          </w:p>
        </w:tc>
      </w:tr>
      <w:tr w:rsidR="007A638A" w:rsidRPr="007C7B45" w14:paraId="3C290C4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27511" w14:textId="40CE9A9E" w:rsidR="007A638A" w:rsidRPr="003E07DD" w:rsidRDefault="00933AB3" w:rsidP="00933AB3">
            <w:pPr>
              <w:spacing w:after="0"/>
              <w:rPr>
                <w:rFonts w:cs="Arial"/>
                <w:color w:val="auto"/>
                <w:sz w:val="20"/>
                <w:szCs w:val="20"/>
              </w:rPr>
            </w:pPr>
            <w:r w:rsidRPr="003E07DD">
              <w:rPr>
                <w:rFonts w:cs="Arial"/>
                <w:color w:val="auto"/>
                <w:sz w:val="20"/>
                <w:szCs w:val="20"/>
              </w:rPr>
              <w:lastRenderedPageBreak/>
              <w:t>Résolution Conf. 16.6 (</w:t>
            </w:r>
            <w:proofErr w:type="spellStart"/>
            <w:r w:rsidRPr="003E07DD">
              <w:rPr>
                <w:rFonts w:cs="Arial"/>
                <w:color w:val="auto"/>
                <w:sz w:val="20"/>
                <w:szCs w:val="20"/>
              </w:rPr>
              <w:t>Rev</w:t>
            </w:r>
            <w:proofErr w:type="spellEnd"/>
            <w:r w:rsidRPr="003E07DD">
              <w:rPr>
                <w:rFonts w:cs="Arial"/>
                <w:color w:val="auto"/>
                <w:sz w:val="20"/>
                <w:szCs w:val="20"/>
              </w:rPr>
              <w:t>. CoP18)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F95E" w14:textId="6690E089" w:rsidR="007A638A" w:rsidRPr="003E07DD" w:rsidRDefault="00933AB3" w:rsidP="00933AB3">
            <w:pPr>
              <w:spacing w:after="0"/>
              <w:ind w:left="1" w:right="54"/>
              <w:rPr>
                <w:rFonts w:cs="Arial"/>
                <w:color w:val="auto"/>
                <w:sz w:val="20"/>
                <w:szCs w:val="20"/>
              </w:rPr>
            </w:pPr>
            <w:r w:rsidRPr="003E07DD">
              <w:rPr>
                <w:rFonts w:cs="Arial"/>
                <w:color w:val="auto"/>
                <w:sz w:val="20"/>
                <w:szCs w:val="20"/>
              </w:rPr>
              <w:t>La CITES et les moyens d’existence</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E5B3" w14:textId="44FF2B05" w:rsidR="00A439E1" w:rsidRPr="003E07DD" w:rsidRDefault="00933AB3" w:rsidP="00933AB3">
            <w:pPr>
              <w:spacing w:after="0"/>
              <w:ind w:left="1"/>
              <w:jc w:val="left"/>
              <w:rPr>
                <w:rFonts w:cs="Arial"/>
                <w:color w:val="auto"/>
                <w:sz w:val="20"/>
                <w:szCs w:val="20"/>
              </w:rPr>
            </w:pPr>
            <w:r w:rsidRPr="003E07DD">
              <w:rPr>
                <w:rFonts w:cs="Arial"/>
                <w:color w:val="auto"/>
                <w:sz w:val="20"/>
                <w:szCs w:val="20"/>
              </w:rPr>
              <w:t>Technique et/ou stratégique</w:t>
            </w:r>
          </w:p>
          <w:p w14:paraId="066A0B80" w14:textId="77777777" w:rsidR="00A439E1" w:rsidRPr="003E07DD" w:rsidRDefault="00A439E1">
            <w:pPr>
              <w:spacing w:after="0"/>
              <w:ind w:left="1"/>
              <w:jc w:val="left"/>
              <w:rPr>
                <w:rFonts w:cs="Arial"/>
                <w:color w:val="auto"/>
                <w:sz w:val="20"/>
                <w:szCs w:val="20"/>
              </w:rPr>
            </w:pPr>
          </w:p>
          <w:p w14:paraId="7D298039" w14:textId="2F9BF798" w:rsidR="007A638A" w:rsidRPr="003E07DD" w:rsidRDefault="00933AB3" w:rsidP="00933AB3">
            <w:pPr>
              <w:spacing w:after="0"/>
              <w:ind w:left="1"/>
              <w:jc w:val="left"/>
              <w:rPr>
                <w:rFonts w:cs="Arial"/>
                <w:color w:val="auto"/>
                <w:sz w:val="20"/>
                <w:szCs w:val="20"/>
              </w:rPr>
            </w:pPr>
            <w:r w:rsidRPr="003E07DD">
              <w:rPr>
                <w:rFonts w:cs="Arial"/>
                <w:color w:val="auto"/>
                <w:sz w:val="20"/>
                <w:szCs w:val="20"/>
              </w:rPr>
              <w:t xml:space="preserve">Orientations sur les questions relatives aux moyens d’existence, y compris l’autonomisation des communautés rurales, les politiques habilitantes, l’engagement des communautés rurales dans la lutte contre le commerce illégal d’espèces sauvages, et le passage potentiel d’une production </w:t>
            </w:r>
            <w:r w:rsidRPr="003E07DD">
              <w:rPr>
                <w:rFonts w:cs="Arial"/>
                <w:i/>
                <w:color w:val="auto"/>
                <w:sz w:val="20"/>
                <w:szCs w:val="20"/>
              </w:rPr>
              <w:t>in situ</w:t>
            </w:r>
            <w:r w:rsidRPr="003E07DD">
              <w:rPr>
                <w:rFonts w:cs="Arial"/>
                <w:color w:val="auto"/>
                <w:sz w:val="20"/>
                <w:szCs w:val="20"/>
              </w:rPr>
              <w:t xml:space="preserve"> à une production </w:t>
            </w:r>
            <w:r w:rsidRPr="003E07DD">
              <w:rPr>
                <w:rFonts w:cs="Arial"/>
                <w:i/>
                <w:color w:val="auto"/>
                <w:sz w:val="20"/>
                <w:szCs w:val="20"/>
              </w:rPr>
              <w:t>ex situ</w:t>
            </w:r>
            <w:r w:rsidRPr="003E07DD">
              <w:rPr>
                <w:rFonts w:cs="Arial"/>
                <w:color w:val="auto"/>
                <w:sz w:val="20"/>
                <w:szCs w:val="20"/>
              </w:rPr>
              <w:t xml:space="preserve"> </w:t>
            </w:r>
            <w:proofErr w:type="gramStart"/>
            <w:r w:rsidRPr="003E07DD">
              <w:rPr>
                <w:rFonts w:cs="Arial"/>
                <w:color w:val="auto"/>
                <w:sz w:val="20"/>
                <w:szCs w:val="20"/>
              </w:rPr>
              <w:t>suite à</w:t>
            </w:r>
            <w:proofErr w:type="gramEnd"/>
            <w:r w:rsidRPr="003E07DD">
              <w:rPr>
                <w:rFonts w:cs="Arial"/>
                <w:color w:val="auto"/>
                <w:sz w:val="20"/>
                <w:szCs w:val="20"/>
              </w:rPr>
              <w:t xml:space="preserve"> l’inscription d’espèces aux Annexes de la CITES.</w:t>
            </w:r>
          </w:p>
        </w:tc>
      </w:tr>
      <w:tr w:rsidR="007A638A" w:rsidRPr="007C7B45" w14:paraId="2B9B2EB0" w14:textId="77777777">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1C11" w14:textId="2CCE6D21" w:rsidR="007A638A" w:rsidRPr="003E07DD" w:rsidRDefault="00933AB3" w:rsidP="00933AB3">
            <w:pPr>
              <w:spacing w:after="0"/>
              <w:rPr>
                <w:rFonts w:cs="Arial"/>
                <w:color w:val="auto"/>
                <w:sz w:val="20"/>
                <w:szCs w:val="20"/>
              </w:rPr>
            </w:pPr>
            <w:r w:rsidRPr="003E07DD">
              <w:rPr>
                <w:rFonts w:cs="Arial"/>
                <w:color w:val="auto"/>
                <w:sz w:val="20"/>
                <w:szCs w:val="20"/>
              </w:rPr>
              <w:t>Résolution Conf. 16.7 (</w:t>
            </w:r>
            <w:proofErr w:type="spellStart"/>
            <w:r w:rsidRPr="003E07DD">
              <w:rPr>
                <w:rFonts w:cs="Arial"/>
                <w:color w:val="auto"/>
                <w:sz w:val="20"/>
                <w:szCs w:val="20"/>
              </w:rPr>
              <w:t>Rev</w:t>
            </w:r>
            <w:proofErr w:type="spellEnd"/>
            <w:r w:rsidRPr="003E07DD">
              <w:rPr>
                <w:rFonts w:cs="Arial"/>
                <w:color w:val="auto"/>
                <w:sz w:val="20"/>
                <w:szCs w:val="20"/>
              </w:rPr>
              <w:t xml:space="preserve"> CoP17).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74B8" w14:textId="0196639A" w:rsidR="007A638A" w:rsidRPr="003E07DD" w:rsidRDefault="00680F31" w:rsidP="00933AB3">
            <w:pPr>
              <w:spacing w:after="0"/>
              <w:ind w:left="1" w:right="54"/>
              <w:rPr>
                <w:rFonts w:cs="Arial"/>
                <w:color w:val="auto"/>
                <w:sz w:val="20"/>
                <w:szCs w:val="20"/>
              </w:rPr>
            </w:pPr>
            <w:r w:rsidRPr="003E07DD">
              <w:rPr>
                <w:rFonts w:cs="Arial"/>
                <w:color w:val="auto"/>
                <w:sz w:val="20"/>
                <w:szCs w:val="20"/>
              </w:rPr>
              <w:t>Avis de commerce non préjudiciable</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4A10A" w14:textId="066F6F6A" w:rsidR="00A439E1" w:rsidRPr="003E07DD" w:rsidRDefault="00933AB3" w:rsidP="00933AB3">
            <w:pPr>
              <w:spacing w:after="0"/>
              <w:ind w:left="1"/>
              <w:jc w:val="left"/>
              <w:rPr>
                <w:rFonts w:cs="Arial"/>
                <w:color w:val="auto"/>
                <w:sz w:val="20"/>
                <w:szCs w:val="20"/>
              </w:rPr>
            </w:pPr>
            <w:r w:rsidRPr="003E07DD">
              <w:rPr>
                <w:rFonts w:cs="Arial"/>
                <w:color w:val="auto"/>
                <w:sz w:val="20"/>
                <w:szCs w:val="20"/>
              </w:rPr>
              <w:t>Technique</w:t>
            </w:r>
          </w:p>
          <w:p w14:paraId="178D9384" w14:textId="77777777" w:rsidR="00A439E1" w:rsidRPr="003E07DD" w:rsidRDefault="00A439E1">
            <w:pPr>
              <w:spacing w:after="0"/>
              <w:ind w:left="1"/>
              <w:jc w:val="left"/>
              <w:rPr>
                <w:rFonts w:cs="Arial"/>
                <w:color w:val="auto"/>
                <w:sz w:val="20"/>
                <w:szCs w:val="20"/>
              </w:rPr>
            </w:pPr>
          </w:p>
          <w:p w14:paraId="648DB665" w14:textId="7E885B6E" w:rsidR="007A638A" w:rsidRPr="003E07DD" w:rsidRDefault="00933AB3" w:rsidP="00933AB3">
            <w:pPr>
              <w:spacing w:after="0"/>
              <w:ind w:left="1"/>
              <w:jc w:val="left"/>
              <w:rPr>
                <w:rFonts w:cs="Arial"/>
                <w:color w:val="auto"/>
                <w:sz w:val="20"/>
                <w:szCs w:val="20"/>
              </w:rPr>
            </w:pPr>
            <w:r w:rsidRPr="003E07DD">
              <w:rPr>
                <w:rFonts w:cs="Arial"/>
                <w:color w:val="auto"/>
                <w:sz w:val="20"/>
                <w:szCs w:val="20"/>
              </w:rPr>
              <w:t>La résolution comprend des orientations relatives aux concepts et aux principes non contraignants que les autorités scientifiques doivent prendre en compte pour déterminer si le commerce est préjudiciable à la survie d’une espèce.</w:t>
            </w:r>
          </w:p>
        </w:tc>
      </w:tr>
      <w:tr w:rsidR="007A638A" w:rsidRPr="007C7B45" w14:paraId="7795A98E"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AE249" w14:textId="247BAD47" w:rsidR="007A638A" w:rsidRPr="003E07DD" w:rsidRDefault="00933AB3" w:rsidP="00933AB3">
            <w:pPr>
              <w:spacing w:after="0"/>
              <w:jc w:val="left"/>
              <w:rPr>
                <w:rFonts w:cs="Arial"/>
                <w:color w:val="auto"/>
                <w:sz w:val="20"/>
                <w:szCs w:val="20"/>
              </w:rPr>
            </w:pPr>
            <w:r w:rsidRPr="003E07DD">
              <w:rPr>
                <w:rFonts w:cs="Arial"/>
                <w:color w:val="auto"/>
                <w:sz w:val="20"/>
                <w:szCs w:val="20"/>
              </w:rPr>
              <w:t>Résolution Conf. 18.3</w:t>
            </w:r>
            <w:r w:rsidR="007A638A" w:rsidRPr="003E07DD">
              <w:rPr>
                <w:rFonts w:cs="Arial"/>
                <w:color w:val="auto"/>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80E3E" w14:textId="669D9427" w:rsidR="007A638A" w:rsidRPr="003E07DD" w:rsidRDefault="00933AB3" w:rsidP="00933AB3">
            <w:pPr>
              <w:spacing w:after="0"/>
              <w:jc w:val="left"/>
              <w:rPr>
                <w:rFonts w:cs="Arial"/>
                <w:color w:val="auto"/>
                <w:sz w:val="20"/>
                <w:szCs w:val="20"/>
              </w:rPr>
            </w:pPr>
            <w:r w:rsidRPr="003E07DD">
              <w:rPr>
                <w:rFonts w:cs="Arial"/>
                <w:color w:val="auto"/>
                <w:sz w:val="20"/>
                <w:szCs w:val="20"/>
              </w:rPr>
              <w:t>Vision de la stratégie CITES pour 2021-2030</w:t>
            </w:r>
            <w:r w:rsidR="007A638A" w:rsidRPr="003E07DD">
              <w:rPr>
                <w:rFonts w:cs="Arial"/>
                <w:color w:val="auto"/>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A7EB3" w14:textId="64A0174C" w:rsidR="00A439E1" w:rsidRPr="003E07DD" w:rsidRDefault="00933AB3" w:rsidP="00933AB3">
            <w:pPr>
              <w:spacing w:after="21"/>
              <w:jc w:val="left"/>
              <w:rPr>
                <w:rFonts w:cs="Arial"/>
                <w:color w:val="auto"/>
                <w:sz w:val="20"/>
                <w:szCs w:val="20"/>
              </w:rPr>
            </w:pPr>
            <w:r w:rsidRPr="003E07DD">
              <w:rPr>
                <w:rFonts w:cs="Arial"/>
                <w:color w:val="auto"/>
                <w:sz w:val="20"/>
                <w:szCs w:val="20"/>
              </w:rPr>
              <w:t>Stratégique</w:t>
            </w:r>
          </w:p>
          <w:p w14:paraId="685FEED8" w14:textId="77777777" w:rsidR="00A439E1" w:rsidRPr="003E07DD" w:rsidRDefault="00A439E1">
            <w:pPr>
              <w:spacing w:after="21"/>
              <w:jc w:val="left"/>
              <w:rPr>
                <w:rFonts w:cs="Arial"/>
                <w:color w:val="auto"/>
                <w:sz w:val="20"/>
                <w:szCs w:val="20"/>
              </w:rPr>
            </w:pPr>
          </w:p>
          <w:p w14:paraId="23E08687" w14:textId="4CC75DF0" w:rsidR="007A638A" w:rsidRPr="003E07DD" w:rsidRDefault="00933AB3" w:rsidP="00933AB3">
            <w:pPr>
              <w:spacing w:after="21"/>
              <w:jc w:val="left"/>
              <w:rPr>
                <w:rFonts w:cs="Arial"/>
                <w:color w:val="auto"/>
                <w:sz w:val="20"/>
                <w:szCs w:val="20"/>
              </w:rPr>
            </w:pPr>
            <w:r w:rsidRPr="003E07DD">
              <w:rPr>
                <w:rFonts w:cs="Arial"/>
                <w:color w:val="auto"/>
                <w:sz w:val="20"/>
                <w:szCs w:val="20"/>
              </w:rPr>
              <w:t>La résolution formule la Vision stratégique de la CITES pour la période 2021-2030, y compris l’énoncé de la vision, l’objectif, les cinq buts stratégiques et les objectifs convenus au titre de chaque but.</w:t>
            </w:r>
          </w:p>
        </w:tc>
      </w:tr>
      <w:tr w:rsidR="007A638A" w:rsidRPr="007C7B45" w14:paraId="61411865"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957C" w14:textId="5AD2D146" w:rsidR="007A638A" w:rsidRPr="003E07DD" w:rsidRDefault="00933AB3" w:rsidP="00933AB3">
            <w:pPr>
              <w:spacing w:after="0"/>
              <w:jc w:val="left"/>
              <w:rPr>
                <w:rFonts w:cs="Arial"/>
                <w:color w:val="auto"/>
                <w:sz w:val="20"/>
                <w:szCs w:val="20"/>
              </w:rPr>
            </w:pPr>
            <w:r w:rsidRPr="003E07DD">
              <w:rPr>
                <w:rFonts w:cs="Arial"/>
                <w:color w:val="auto"/>
                <w:sz w:val="20"/>
                <w:szCs w:val="20"/>
              </w:rPr>
              <w:t>Résolution Conf. 18.7 (</w:t>
            </w:r>
            <w:proofErr w:type="spellStart"/>
            <w:r w:rsidRPr="003E07DD">
              <w:rPr>
                <w:rFonts w:cs="Arial"/>
                <w:color w:val="auto"/>
                <w:sz w:val="20"/>
                <w:szCs w:val="20"/>
              </w:rPr>
              <w:t>Rev</w:t>
            </w:r>
            <w:proofErr w:type="spellEnd"/>
            <w:r w:rsidRPr="003E07DD">
              <w:rPr>
                <w:rFonts w:cs="Arial"/>
                <w:color w:val="auto"/>
                <w:sz w:val="20"/>
                <w:szCs w:val="20"/>
              </w:rPr>
              <w:t>. CoP19)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9B47" w14:textId="29731CAC" w:rsidR="007A638A" w:rsidRPr="003E07DD" w:rsidRDefault="00933AB3" w:rsidP="00933AB3">
            <w:pPr>
              <w:spacing w:after="0"/>
              <w:jc w:val="left"/>
              <w:rPr>
                <w:rFonts w:cs="Arial"/>
                <w:color w:val="auto"/>
                <w:sz w:val="20"/>
                <w:szCs w:val="20"/>
              </w:rPr>
            </w:pPr>
            <w:r w:rsidRPr="003E07DD">
              <w:rPr>
                <w:rFonts w:cs="Arial"/>
                <w:color w:val="auto"/>
                <w:sz w:val="20"/>
                <w:szCs w:val="20"/>
              </w:rPr>
              <w:t>Avis d’acquisition légale</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20BD7" w14:textId="0CA9AE63" w:rsidR="00A439E1" w:rsidRPr="003E07DD" w:rsidRDefault="00933AB3" w:rsidP="00933AB3">
            <w:pPr>
              <w:spacing w:after="21"/>
              <w:jc w:val="left"/>
              <w:rPr>
                <w:rFonts w:cs="Arial"/>
                <w:color w:val="auto"/>
                <w:sz w:val="20"/>
                <w:szCs w:val="20"/>
              </w:rPr>
            </w:pPr>
            <w:r w:rsidRPr="003E07DD">
              <w:rPr>
                <w:rFonts w:cs="Arial"/>
                <w:color w:val="auto"/>
                <w:sz w:val="20"/>
                <w:szCs w:val="20"/>
              </w:rPr>
              <w:t>Technique</w:t>
            </w:r>
          </w:p>
          <w:p w14:paraId="4A9EDB4E" w14:textId="77777777" w:rsidR="00A439E1" w:rsidRPr="003E07DD" w:rsidRDefault="00A439E1">
            <w:pPr>
              <w:spacing w:after="21"/>
              <w:jc w:val="left"/>
              <w:rPr>
                <w:rFonts w:cs="Arial"/>
                <w:color w:val="auto"/>
                <w:sz w:val="20"/>
                <w:szCs w:val="20"/>
              </w:rPr>
            </w:pPr>
          </w:p>
          <w:p w14:paraId="4EB718D9" w14:textId="463E184A" w:rsidR="007A638A" w:rsidRPr="003E07DD" w:rsidRDefault="00933AB3" w:rsidP="00933AB3">
            <w:pPr>
              <w:spacing w:after="21"/>
              <w:jc w:val="left"/>
              <w:rPr>
                <w:rFonts w:cs="Arial"/>
                <w:color w:val="auto"/>
                <w:sz w:val="20"/>
                <w:szCs w:val="20"/>
              </w:rPr>
            </w:pPr>
            <w:r w:rsidRPr="003E07DD">
              <w:rPr>
                <w:rFonts w:cs="Arial"/>
                <w:color w:val="auto"/>
                <w:sz w:val="20"/>
                <w:szCs w:val="20"/>
              </w:rPr>
              <w:t>La résolution comprend des principes directeurs que les Parties peuvent utiliser pour vérifier la légalité de l’acquisition des spécimens à exporter.</w:t>
            </w:r>
          </w:p>
        </w:tc>
      </w:tr>
      <w:tr w:rsidR="007A638A" w:rsidRPr="007C7B45" w14:paraId="6219AC7C"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B32F" w14:textId="19795AE3" w:rsidR="007A638A" w:rsidRPr="003E07DD" w:rsidRDefault="00933AB3" w:rsidP="00933AB3">
            <w:pPr>
              <w:spacing w:after="0"/>
              <w:jc w:val="left"/>
              <w:rPr>
                <w:rFonts w:cs="Arial"/>
                <w:color w:val="auto"/>
                <w:sz w:val="20"/>
                <w:szCs w:val="20"/>
              </w:rPr>
            </w:pPr>
            <w:r w:rsidRPr="003E07DD">
              <w:rPr>
                <w:rFonts w:cs="Arial"/>
                <w:color w:val="auto"/>
                <w:sz w:val="20"/>
                <w:szCs w:val="20"/>
              </w:rPr>
              <w:t>Résolution Conf. 19.4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D967" w14:textId="38553DDC" w:rsidR="007A638A" w:rsidRPr="003E07DD" w:rsidRDefault="00933AB3" w:rsidP="00933AB3">
            <w:pPr>
              <w:spacing w:after="0"/>
              <w:jc w:val="left"/>
              <w:rPr>
                <w:rFonts w:cs="Arial"/>
                <w:color w:val="auto"/>
                <w:sz w:val="20"/>
                <w:szCs w:val="20"/>
              </w:rPr>
            </w:pPr>
            <w:r w:rsidRPr="003E07DD">
              <w:rPr>
                <w:rFonts w:cs="Arial"/>
                <w:color w:val="auto"/>
                <w:sz w:val="20"/>
                <w:szCs w:val="20"/>
              </w:rPr>
              <w:t>Matériels d’identification des spécimens d’espèces inscrites aux annexes de la CITES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C6997" w14:textId="688955DE" w:rsidR="00A439E1" w:rsidRPr="003E07DD" w:rsidRDefault="00933AB3" w:rsidP="00933AB3">
            <w:pPr>
              <w:spacing w:after="21"/>
              <w:jc w:val="left"/>
              <w:rPr>
                <w:rFonts w:cs="Arial"/>
                <w:color w:val="auto"/>
                <w:sz w:val="20"/>
                <w:szCs w:val="20"/>
              </w:rPr>
            </w:pPr>
            <w:r w:rsidRPr="003E07DD">
              <w:rPr>
                <w:rFonts w:cs="Arial"/>
                <w:color w:val="auto"/>
                <w:sz w:val="20"/>
                <w:szCs w:val="20"/>
              </w:rPr>
              <w:t>Technique</w:t>
            </w:r>
          </w:p>
          <w:p w14:paraId="46B913D1" w14:textId="77777777" w:rsidR="00A439E1" w:rsidRPr="003E07DD" w:rsidRDefault="00A439E1">
            <w:pPr>
              <w:spacing w:after="21"/>
              <w:jc w:val="left"/>
              <w:rPr>
                <w:rFonts w:cs="Arial"/>
                <w:color w:val="auto"/>
                <w:sz w:val="20"/>
                <w:szCs w:val="20"/>
              </w:rPr>
            </w:pPr>
          </w:p>
          <w:p w14:paraId="495F24F5" w14:textId="073D676C" w:rsidR="007A638A" w:rsidRPr="003E07DD" w:rsidRDefault="00933AB3" w:rsidP="00933AB3">
            <w:pPr>
              <w:spacing w:after="21"/>
              <w:jc w:val="left"/>
              <w:rPr>
                <w:rFonts w:cs="Arial"/>
                <w:color w:val="auto"/>
                <w:sz w:val="20"/>
                <w:szCs w:val="20"/>
              </w:rPr>
            </w:pPr>
            <w:r w:rsidRPr="003E07DD">
              <w:rPr>
                <w:rFonts w:cs="Arial"/>
                <w:color w:val="auto"/>
                <w:sz w:val="20"/>
                <w:szCs w:val="20"/>
              </w:rPr>
              <w:t>La résolution prévoit l’élaboration de documents d’identification ainsi que l’examen et l’analyse réguliers de ces documents pour s’assurer que sont pris en compte les besoins des Parties à cet égard.</w:t>
            </w:r>
            <w:r w:rsidR="007A638A" w:rsidRPr="003E07DD">
              <w:rPr>
                <w:rFonts w:cs="Arial"/>
                <w:color w:val="auto"/>
                <w:sz w:val="20"/>
                <w:szCs w:val="20"/>
              </w:rPr>
              <w:t xml:space="preserve"> </w:t>
            </w:r>
            <w:r w:rsidRPr="003E07DD">
              <w:rPr>
                <w:rFonts w:cs="Arial"/>
                <w:color w:val="auto"/>
                <w:sz w:val="20"/>
                <w:szCs w:val="20"/>
              </w:rPr>
              <w:t>La capacité des inspecteurs de la CITES et des fonctionnaires des douanes à identifier les espèces inscrites à la CITES et leurs produits présents dans le commerce est essentielle à la mise en œuvre et à l’application des protections accordées aux espèces inscrites à la CITES.</w:t>
            </w:r>
            <w:r w:rsidR="007A638A" w:rsidRPr="003E07DD">
              <w:rPr>
                <w:rFonts w:cs="Arial"/>
                <w:color w:val="auto"/>
                <w:sz w:val="20"/>
                <w:szCs w:val="20"/>
              </w:rPr>
              <w:t xml:space="preserve"> </w:t>
            </w:r>
          </w:p>
        </w:tc>
      </w:tr>
    </w:tbl>
    <w:p w14:paraId="06213D8B" w14:textId="77777777" w:rsidR="00A439E1" w:rsidRPr="00933AB3" w:rsidRDefault="007A638A" w:rsidP="007A638A">
      <w:pPr>
        <w:ind w:left="2"/>
        <w:jc w:val="left"/>
        <w:rPr>
          <w:rFonts w:cs="Arial"/>
          <w:lang w:val="fr-CH"/>
        </w:rPr>
      </w:pPr>
      <w:r w:rsidRPr="00933AB3">
        <w:rPr>
          <w:rFonts w:cs="Arial"/>
          <w:color w:val="FF0000"/>
          <w:lang w:val="fr-CH"/>
        </w:rPr>
        <w:t xml:space="preserve"> </w:t>
      </w:r>
    </w:p>
    <w:p w14:paraId="143ACCB9" w14:textId="494EEFE7" w:rsidR="00A439E1" w:rsidRPr="003E07DD" w:rsidRDefault="00933AB3" w:rsidP="009940CD">
      <w:pPr>
        <w:keepNext/>
        <w:spacing w:after="230"/>
        <w:jc w:val="left"/>
        <w:rPr>
          <w:rFonts w:cs="Arial"/>
          <w:color w:val="auto"/>
          <w:lang w:val="fr-CH"/>
        </w:rPr>
      </w:pPr>
      <w:r w:rsidRPr="003E07DD">
        <w:rPr>
          <w:rFonts w:cs="Arial"/>
          <w:color w:val="auto"/>
          <w:u w:val="single"/>
          <w:lang w:val="fr-CH"/>
        </w:rPr>
        <w:t xml:space="preserve">Section 2 : Décisions relatives aux espèces d’arbres avec possibilité de mise en œuvre par l’intermédiaire d’une approche programmatique pour toute nouvelle initiative relative à la </w:t>
      </w:r>
      <w:r w:rsidRPr="003E07DD">
        <w:rPr>
          <w:rFonts w:cs="Arial"/>
          <w:i/>
          <w:color w:val="auto"/>
          <w:u w:val="single"/>
          <w:lang w:val="fr-CH"/>
        </w:rPr>
        <w:t>CITES et les forêts</w:t>
      </w:r>
      <w:r w:rsidRPr="003E07DD">
        <w:rPr>
          <w:rFonts w:cs="Arial"/>
          <w:color w:val="auto"/>
          <w:u w:val="single"/>
          <w:lang w:val="fr-CH"/>
        </w:rPr>
        <w:t>.</w:t>
      </w:r>
      <w:r w:rsidR="007A638A" w:rsidRPr="003E07DD">
        <w:rPr>
          <w:rFonts w:cs="Arial"/>
          <w:color w:val="auto"/>
          <w:lang w:val="fr-CH"/>
        </w:rPr>
        <w:t xml:space="preserve"> </w:t>
      </w:r>
    </w:p>
    <w:p w14:paraId="0DCEB85F" w14:textId="0CC8F4EA" w:rsidR="00A439E1" w:rsidRPr="003E07DD" w:rsidRDefault="00933AB3" w:rsidP="00933AB3">
      <w:pPr>
        <w:spacing w:after="8"/>
        <w:ind w:left="-3" w:right="41"/>
        <w:rPr>
          <w:rFonts w:cs="Arial"/>
          <w:color w:val="auto"/>
          <w:lang w:val="fr-CH"/>
        </w:rPr>
      </w:pPr>
      <w:r w:rsidRPr="003E07DD">
        <w:rPr>
          <w:rFonts w:cs="Arial"/>
          <w:color w:val="auto"/>
          <w:lang w:val="fr-CH"/>
        </w:rPr>
        <w:t xml:space="preserve">En plus de mettre l’accent sur les espèces d’arbres inscrites dans les Annexes de la CITES, le tableau ci-dessous tient particulièrement compte des Décisions demandant la réalisation d’études ou de projets pertinents qui </w:t>
      </w:r>
      <w:r w:rsidRPr="003E07DD">
        <w:rPr>
          <w:rFonts w:cs="Arial"/>
          <w:color w:val="auto"/>
          <w:lang w:val="fr-CH"/>
        </w:rPr>
        <w:lastRenderedPageBreak/>
        <w:t xml:space="preserve">dépendent de la disponibilité des ressources financières externes. Le but est de donner un aperçu de la façon dont les prochains programmes CITES pourraient être élaborés ainsi que de la forme que les futures initiatives phares au titre de </w:t>
      </w:r>
      <w:r w:rsidRPr="003E07DD">
        <w:rPr>
          <w:rFonts w:cs="Arial"/>
          <w:i/>
          <w:color w:val="auto"/>
          <w:lang w:val="fr-CH"/>
        </w:rPr>
        <w:t>La CITES et les forêts</w:t>
      </w:r>
      <w:r w:rsidRPr="003E07DD">
        <w:rPr>
          <w:rFonts w:cs="Arial"/>
          <w:color w:val="auto"/>
          <w:lang w:val="fr-CH"/>
        </w:rPr>
        <w:t xml:space="preserve"> pourraient prendre.</w:t>
      </w:r>
      <w:r w:rsidR="007A638A" w:rsidRPr="003E07DD">
        <w:rPr>
          <w:rFonts w:cs="Arial"/>
          <w:color w:val="auto"/>
          <w:lang w:val="fr-CH"/>
        </w:rPr>
        <w:t xml:space="preserve"> </w:t>
      </w:r>
    </w:p>
    <w:p w14:paraId="68E79363" w14:textId="77777777" w:rsidR="00A439E1" w:rsidRPr="003E07DD" w:rsidRDefault="00A439E1" w:rsidP="007A638A">
      <w:pPr>
        <w:spacing w:after="8"/>
        <w:ind w:left="-3" w:right="41"/>
        <w:rPr>
          <w:rFonts w:cs="Arial"/>
          <w:color w:val="auto"/>
          <w:lang w:val="fr-CH"/>
        </w:rPr>
      </w:pPr>
    </w:p>
    <w:p w14:paraId="4DCA14D5" w14:textId="5825B2BE" w:rsidR="00A439E1" w:rsidRPr="003E07DD" w:rsidRDefault="00933AB3" w:rsidP="00955DCB">
      <w:pPr>
        <w:spacing w:after="8"/>
        <w:ind w:left="-3" w:right="41"/>
        <w:rPr>
          <w:rFonts w:cs="Arial"/>
          <w:color w:val="auto"/>
          <w:lang w:val="fr-CH"/>
        </w:rPr>
      </w:pPr>
      <w:r w:rsidRPr="003E07DD">
        <w:rPr>
          <w:rFonts w:cs="Arial"/>
          <w:color w:val="auto"/>
          <w:lang w:val="fr-CH"/>
        </w:rPr>
        <w:t>Sont répertoriées ci-dessous les décisions formulées à l’adresse du Comité pour les plantes qui doivent éclairer les travaux visant à améliorer la mise en œuvre de la CITES pour les espèces d’arbres réglementées.</w:t>
      </w:r>
      <w:r w:rsidR="007A638A" w:rsidRPr="003E07DD">
        <w:rPr>
          <w:rFonts w:cs="Arial"/>
          <w:color w:val="auto"/>
          <w:lang w:val="fr-CH"/>
        </w:rPr>
        <w:t xml:space="preserve"> </w:t>
      </w:r>
      <w:r w:rsidRPr="003E07DD">
        <w:rPr>
          <w:rFonts w:cs="Arial"/>
          <w:color w:val="auto"/>
          <w:lang w:val="fr-CH"/>
        </w:rPr>
        <w:t>Cette palette d’activités démontre le rôle étendu du Comité pour les plantes de la CITES qui fournit, en coordination avec le Secrétariat, une expertise technique visant à améliorer l’utilisation durable et la conservation des espèces d’arbres inscrites à la CITES.</w:t>
      </w:r>
      <w:r w:rsidR="007A638A" w:rsidRPr="003E07DD">
        <w:rPr>
          <w:rFonts w:cs="Arial"/>
          <w:color w:val="auto"/>
          <w:lang w:val="fr-CH"/>
        </w:rPr>
        <w:t xml:space="preserve"> </w:t>
      </w:r>
      <w:r w:rsidR="00955DCB" w:rsidRPr="003E07DD">
        <w:rPr>
          <w:rFonts w:cs="Arial"/>
          <w:color w:val="auto"/>
          <w:lang w:val="fr-CH"/>
        </w:rPr>
        <w:t>Le Comité pour les plantes accorde la priorité aux efforts visant à traiter les décisions dans le cadre de son plan de travail (PC26 Doc. 8.2 / PC26 SR), plan de travail qui est adopté à l’issue de chaque réunion de la Conférence des Parties.</w:t>
      </w:r>
    </w:p>
    <w:p w14:paraId="3A4C702A" w14:textId="77777777" w:rsidR="00A439E1" w:rsidRPr="00955DCB" w:rsidRDefault="007A638A" w:rsidP="007A638A">
      <w:pPr>
        <w:tabs>
          <w:tab w:val="clear" w:pos="397"/>
          <w:tab w:val="clear" w:pos="794"/>
          <w:tab w:val="clear" w:pos="1191"/>
          <w:tab w:val="clear" w:pos="1588"/>
          <w:tab w:val="clear" w:pos="1985"/>
        </w:tabs>
        <w:spacing w:after="0"/>
        <w:jc w:val="left"/>
        <w:rPr>
          <w:rFonts w:cs="Arial"/>
          <w:lang w:val="fr-CH"/>
        </w:rPr>
      </w:pPr>
      <w:r w:rsidRPr="00955DCB">
        <w:rPr>
          <w:rFonts w:cs="Arial"/>
          <w:lang w:val="fr-CH"/>
        </w:rPr>
        <w:br w:type="page"/>
      </w:r>
    </w:p>
    <w:p w14:paraId="42C6A16E" w14:textId="1802B0FC" w:rsidR="007A638A" w:rsidRPr="00955DCB" w:rsidRDefault="007A638A" w:rsidP="007A638A">
      <w:pPr>
        <w:spacing w:after="8"/>
        <w:ind w:left="-3" w:right="41"/>
        <w:rPr>
          <w:rFonts w:cs="Arial"/>
          <w:lang w:val="fr-CH"/>
        </w:rPr>
      </w:pPr>
    </w:p>
    <w:tbl>
      <w:tblPr>
        <w:tblStyle w:val="TableGrid1"/>
        <w:tblW w:w="9626" w:type="dxa"/>
        <w:tblInd w:w="9" w:type="dxa"/>
        <w:tblCellMar>
          <w:top w:w="45" w:type="dxa"/>
          <w:left w:w="108" w:type="dxa"/>
          <w:right w:w="36" w:type="dxa"/>
        </w:tblCellMar>
        <w:tblLook w:val="04A0" w:firstRow="1" w:lastRow="0" w:firstColumn="1" w:lastColumn="0" w:noHBand="0" w:noVBand="1"/>
      </w:tblPr>
      <w:tblGrid>
        <w:gridCol w:w="2261"/>
        <w:gridCol w:w="4394"/>
        <w:gridCol w:w="2971"/>
      </w:tblGrid>
      <w:tr w:rsidR="003E07DD" w:rsidRPr="007C7B45" w14:paraId="13AB0D74" w14:textId="77777777">
        <w:trPr>
          <w:trHeight w:val="1159"/>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2BC22A" w14:textId="773BD74F" w:rsidR="007A638A" w:rsidRPr="003E07DD" w:rsidRDefault="00955DCB" w:rsidP="00955DCB">
            <w:pPr>
              <w:keepNext/>
              <w:spacing w:after="0"/>
              <w:ind w:right="68"/>
              <w:jc w:val="center"/>
              <w:rPr>
                <w:rFonts w:cs="Arial"/>
                <w:color w:val="auto"/>
                <w:sz w:val="20"/>
                <w:szCs w:val="20"/>
              </w:rPr>
            </w:pPr>
            <w:r w:rsidRPr="003E07DD">
              <w:rPr>
                <w:rFonts w:cs="Arial"/>
                <w:b/>
                <w:color w:val="auto"/>
                <w:sz w:val="20"/>
                <w:szCs w:val="20"/>
              </w:rPr>
              <w:t>Décision N°</w:t>
            </w:r>
            <w:r w:rsidR="007A638A" w:rsidRPr="003E07DD">
              <w:rPr>
                <w:rFonts w:cs="Arial"/>
                <w:b/>
                <w:color w:val="auto"/>
                <w:sz w:val="20"/>
                <w:szCs w:val="20"/>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C4B0DA" w14:textId="27403860" w:rsidR="007A638A" w:rsidRPr="003E07DD" w:rsidRDefault="00955DCB" w:rsidP="00955DCB">
            <w:pPr>
              <w:spacing w:after="0"/>
              <w:ind w:right="74"/>
              <w:jc w:val="center"/>
              <w:rPr>
                <w:rFonts w:cs="Arial"/>
                <w:color w:val="auto"/>
                <w:sz w:val="20"/>
                <w:szCs w:val="20"/>
              </w:rPr>
            </w:pPr>
            <w:r w:rsidRPr="003E07DD">
              <w:rPr>
                <w:rFonts w:cs="Arial"/>
                <w:b/>
                <w:color w:val="auto"/>
                <w:sz w:val="20"/>
                <w:szCs w:val="20"/>
              </w:rPr>
              <w:t>Titre</w:t>
            </w:r>
            <w:r w:rsidR="007A638A" w:rsidRPr="003E07DD">
              <w:rPr>
                <w:rFonts w:cs="Arial"/>
                <w:b/>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8E779E" w14:textId="0313516E" w:rsidR="00A439E1" w:rsidRPr="003E07DD" w:rsidRDefault="00955DCB" w:rsidP="00955DCB">
            <w:pPr>
              <w:spacing w:after="0"/>
              <w:jc w:val="center"/>
              <w:rPr>
                <w:rFonts w:cs="Arial"/>
                <w:color w:val="auto"/>
                <w:sz w:val="20"/>
                <w:szCs w:val="20"/>
              </w:rPr>
            </w:pPr>
            <w:r w:rsidRPr="003E07DD">
              <w:rPr>
                <w:rFonts w:cs="Arial"/>
                <w:b/>
                <w:color w:val="auto"/>
                <w:sz w:val="20"/>
                <w:szCs w:val="20"/>
              </w:rPr>
              <w:t>Références pour la mise en œuvre d’un cadre programmatique sur</w:t>
            </w:r>
            <w:r w:rsidRPr="003E07DD">
              <w:rPr>
                <w:rFonts w:cs="Arial"/>
                <w:b/>
                <w:i/>
                <w:color w:val="auto"/>
                <w:sz w:val="20"/>
                <w:szCs w:val="20"/>
              </w:rPr>
              <w:t xml:space="preserve"> La CITES et les forêts</w:t>
            </w:r>
            <w:r w:rsidR="007A638A" w:rsidRPr="003E07DD">
              <w:rPr>
                <w:rFonts w:cs="Arial"/>
                <w:b/>
                <w:color w:val="auto"/>
                <w:sz w:val="20"/>
                <w:szCs w:val="20"/>
              </w:rPr>
              <w:t xml:space="preserve"> </w:t>
            </w:r>
          </w:p>
          <w:p w14:paraId="4793FF04" w14:textId="3F3FFF9D" w:rsidR="007A638A" w:rsidRPr="003E07DD" w:rsidRDefault="00955DCB" w:rsidP="00955DCB">
            <w:pPr>
              <w:spacing w:after="0"/>
              <w:ind w:right="73"/>
              <w:jc w:val="center"/>
              <w:rPr>
                <w:rFonts w:cs="Arial"/>
                <w:color w:val="auto"/>
                <w:sz w:val="20"/>
                <w:szCs w:val="20"/>
              </w:rPr>
            </w:pPr>
            <w:r w:rsidRPr="003E07DD">
              <w:rPr>
                <w:rFonts w:cs="Arial"/>
                <w:b/>
                <w:bCs/>
                <w:color w:val="auto"/>
                <w:sz w:val="20"/>
                <w:szCs w:val="20"/>
              </w:rPr>
              <w:t>(</w:t>
            </w:r>
            <w:proofErr w:type="gramStart"/>
            <w:r w:rsidRPr="003E07DD">
              <w:rPr>
                <w:rFonts w:cs="Arial"/>
                <w:b/>
                <w:bCs/>
                <w:color w:val="auto"/>
                <w:sz w:val="20"/>
                <w:szCs w:val="20"/>
              </w:rPr>
              <w:t>documents</w:t>
            </w:r>
            <w:proofErr w:type="gramEnd"/>
            <w:r w:rsidRPr="003E07DD">
              <w:rPr>
                <w:rFonts w:cs="Arial"/>
                <w:b/>
                <w:bCs/>
                <w:color w:val="auto"/>
                <w:sz w:val="20"/>
                <w:szCs w:val="20"/>
              </w:rPr>
              <w:t xml:space="preserve"> pertinents, y compris les études et projets) </w:t>
            </w:r>
            <w:r w:rsidR="007A638A" w:rsidRPr="003E07DD">
              <w:rPr>
                <w:rFonts w:cs="Arial"/>
                <w:b/>
                <w:bCs/>
                <w:color w:val="auto"/>
                <w:sz w:val="20"/>
                <w:szCs w:val="20"/>
              </w:rPr>
              <w:t xml:space="preserve"> </w:t>
            </w:r>
          </w:p>
        </w:tc>
      </w:tr>
      <w:tr w:rsidR="003E07DD" w:rsidRPr="003E07DD" w14:paraId="6DB66962" w14:textId="77777777">
        <w:trPr>
          <w:trHeight w:val="239"/>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242FDC2E"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5B1E9DA9" w14:textId="1EFC4A26" w:rsidR="007A638A" w:rsidRPr="003E07DD" w:rsidRDefault="00955DCB" w:rsidP="00955DCB">
            <w:pPr>
              <w:spacing w:after="0"/>
              <w:ind w:left="638"/>
              <w:jc w:val="center"/>
              <w:rPr>
                <w:rFonts w:cs="Arial"/>
                <w:color w:val="auto"/>
                <w:sz w:val="20"/>
                <w:szCs w:val="20"/>
              </w:rPr>
            </w:pPr>
            <w:r w:rsidRPr="003E07DD">
              <w:rPr>
                <w:rFonts w:cs="Arial"/>
                <w:b/>
                <w:color w:val="auto"/>
                <w:sz w:val="20"/>
                <w:szCs w:val="20"/>
              </w:rPr>
              <w:t xml:space="preserve">Questions stratégiques </w:t>
            </w:r>
            <w:r w:rsidR="007A638A" w:rsidRPr="003E07DD">
              <w:rPr>
                <w:rFonts w:cs="Arial"/>
                <w:b/>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40934B24" w14:textId="77777777" w:rsidR="007A638A" w:rsidRPr="003E07DD" w:rsidRDefault="007A638A">
            <w:pPr>
              <w:spacing w:after="160"/>
              <w:jc w:val="left"/>
              <w:rPr>
                <w:rFonts w:cs="Arial"/>
                <w:color w:val="auto"/>
                <w:sz w:val="20"/>
                <w:szCs w:val="20"/>
              </w:rPr>
            </w:pPr>
          </w:p>
        </w:tc>
      </w:tr>
      <w:tr w:rsidR="003E07DD" w:rsidRPr="003E07DD" w14:paraId="370D7F33"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D57B" w14:textId="0A54F521" w:rsidR="007A638A" w:rsidRPr="003E07DD" w:rsidRDefault="007A638A">
            <w:pPr>
              <w:spacing w:after="0"/>
              <w:jc w:val="left"/>
              <w:rPr>
                <w:rFonts w:cs="Arial"/>
                <w:color w:val="auto"/>
                <w:sz w:val="20"/>
                <w:szCs w:val="20"/>
              </w:rPr>
            </w:pPr>
            <w:r w:rsidRPr="003E07DD">
              <w:rPr>
                <w:rFonts w:cs="Arial"/>
                <w:color w:val="auto"/>
                <w:sz w:val="20"/>
                <w:szCs w:val="20"/>
              </w:rPr>
              <w:t xml:space="preserve">19.32 </w:t>
            </w:r>
            <w:r w:rsidR="009940CD" w:rsidRPr="003E07DD">
              <w:rPr>
                <w:rFonts w:cs="Arial"/>
                <w:color w:val="auto"/>
                <w:sz w:val="20"/>
                <w:szCs w:val="20"/>
              </w:rPr>
              <w:t>à</w:t>
            </w:r>
            <w:r w:rsidRPr="003E07DD">
              <w:rPr>
                <w:rFonts w:cs="Arial"/>
                <w:color w:val="auto"/>
                <w:sz w:val="20"/>
                <w:szCs w:val="20"/>
              </w:rPr>
              <w:t xml:space="preserve"> 19.34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B9358" w14:textId="556D228D" w:rsidR="007A638A" w:rsidRPr="003E07DD" w:rsidRDefault="00955DCB" w:rsidP="00955DCB">
            <w:pPr>
              <w:spacing w:after="0"/>
              <w:jc w:val="left"/>
              <w:rPr>
                <w:rFonts w:cs="Arial"/>
                <w:color w:val="auto"/>
                <w:sz w:val="20"/>
                <w:szCs w:val="20"/>
              </w:rPr>
            </w:pPr>
            <w:r w:rsidRPr="003E07DD">
              <w:rPr>
                <w:rFonts w:cs="Arial"/>
                <w:color w:val="auto"/>
                <w:sz w:val="20"/>
                <w:szCs w:val="20"/>
              </w:rPr>
              <w:t>La CITES et les forêts</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F4452"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13 </w:t>
            </w:r>
          </w:p>
          <w:p w14:paraId="41B42573" w14:textId="1492CA15"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66157E3B"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1BD599E0"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tcPr>
          <w:p w14:paraId="6C7CF1C0" w14:textId="5FD7EA9B" w:rsidR="007A638A" w:rsidRPr="003E07DD" w:rsidRDefault="00955DCB" w:rsidP="00955DCB">
            <w:pPr>
              <w:spacing w:after="0"/>
              <w:ind w:left="639"/>
              <w:jc w:val="center"/>
              <w:rPr>
                <w:rFonts w:cs="Arial"/>
                <w:color w:val="auto"/>
                <w:sz w:val="20"/>
                <w:szCs w:val="20"/>
              </w:rPr>
            </w:pPr>
            <w:r w:rsidRPr="003E07DD">
              <w:rPr>
                <w:rFonts w:cs="Arial"/>
                <w:i/>
                <w:color w:val="auto"/>
                <w:sz w:val="20"/>
                <w:szCs w:val="20"/>
                <w:u w:val="single"/>
              </w:rPr>
              <w:t>Renforcement des capacités</w:t>
            </w:r>
            <w:r w:rsidR="007A638A" w:rsidRPr="003E07DD">
              <w:rPr>
                <w:rFonts w:cs="Arial"/>
                <w:i/>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053489E" w14:textId="77777777" w:rsidR="007A638A" w:rsidRPr="003E07DD" w:rsidRDefault="007A638A">
            <w:pPr>
              <w:spacing w:after="160"/>
              <w:jc w:val="left"/>
              <w:rPr>
                <w:rFonts w:cs="Arial"/>
                <w:color w:val="auto"/>
                <w:sz w:val="20"/>
                <w:szCs w:val="20"/>
              </w:rPr>
            </w:pPr>
          </w:p>
        </w:tc>
      </w:tr>
      <w:tr w:rsidR="003E07DD" w:rsidRPr="003E07DD" w14:paraId="6F570FAA"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89D69" w14:textId="7053ACCE" w:rsidR="007A638A" w:rsidRPr="003E07DD" w:rsidRDefault="007A638A">
            <w:pPr>
              <w:spacing w:after="0"/>
              <w:jc w:val="left"/>
              <w:rPr>
                <w:rFonts w:cs="Arial"/>
                <w:color w:val="auto"/>
                <w:sz w:val="20"/>
                <w:szCs w:val="20"/>
              </w:rPr>
            </w:pPr>
            <w:r w:rsidRPr="003E07DD">
              <w:rPr>
                <w:rFonts w:cs="Arial"/>
                <w:color w:val="auto"/>
                <w:sz w:val="20"/>
                <w:szCs w:val="20"/>
              </w:rPr>
              <w:t xml:space="preserve">19.49 </w:t>
            </w:r>
            <w:r w:rsidR="009940CD" w:rsidRPr="003E07DD">
              <w:rPr>
                <w:rFonts w:cs="Arial"/>
                <w:color w:val="auto"/>
                <w:sz w:val="20"/>
                <w:szCs w:val="20"/>
              </w:rPr>
              <w:t>et</w:t>
            </w:r>
            <w:r w:rsidRPr="003E07DD">
              <w:rPr>
                <w:rFonts w:cs="Arial"/>
                <w:color w:val="auto"/>
                <w:sz w:val="20"/>
                <w:szCs w:val="20"/>
              </w:rPr>
              <w:t xml:space="preserve"> 19.50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A847" w14:textId="28163E5D" w:rsidR="007A638A" w:rsidRPr="003E07DD" w:rsidRDefault="00955DCB" w:rsidP="00955DCB">
            <w:pPr>
              <w:spacing w:after="0"/>
              <w:jc w:val="left"/>
              <w:rPr>
                <w:rFonts w:cs="Arial"/>
                <w:color w:val="auto"/>
                <w:sz w:val="20"/>
                <w:szCs w:val="20"/>
              </w:rPr>
            </w:pPr>
            <w:r w:rsidRPr="003E07DD">
              <w:rPr>
                <w:rFonts w:cs="Arial"/>
                <w:color w:val="auto"/>
                <w:sz w:val="20"/>
                <w:szCs w:val="20"/>
              </w:rPr>
              <w:t>Programme sur les espèces d’arbres</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2E721" w14:textId="698CC84D" w:rsidR="00A439E1" w:rsidRPr="003E07DD" w:rsidRDefault="00534FEF" w:rsidP="00534FEF">
            <w:pPr>
              <w:spacing w:after="0"/>
              <w:rPr>
                <w:rFonts w:cs="Arial"/>
                <w:color w:val="auto"/>
                <w:sz w:val="20"/>
                <w:szCs w:val="20"/>
              </w:rPr>
            </w:pPr>
            <w:r w:rsidRPr="003E07DD">
              <w:rPr>
                <w:rFonts w:cs="Arial"/>
                <w:color w:val="auto"/>
                <w:sz w:val="20"/>
                <w:szCs w:val="20"/>
              </w:rPr>
              <w:t>PC26 Doc. 15 (Voir aussi la section 3 de l’annexe)</w:t>
            </w:r>
            <w:r w:rsidR="007A638A" w:rsidRPr="003E07DD">
              <w:rPr>
                <w:rFonts w:cs="Arial"/>
                <w:color w:val="auto"/>
                <w:sz w:val="20"/>
                <w:szCs w:val="20"/>
              </w:rPr>
              <w:t xml:space="preserve"> </w:t>
            </w:r>
          </w:p>
          <w:p w14:paraId="00C3B72E" w14:textId="25220412" w:rsidR="007A638A" w:rsidRPr="003E07DD" w:rsidRDefault="007A638A">
            <w:pPr>
              <w:spacing w:after="0"/>
              <w:jc w:val="left"/>
              <w:rPr>
                <w:rFonts w:cs="Arial"/>
                <w:color w:val="auto"/>
                <w:sz w:val="20"/>
                <w:szCs w:val="20"/>
                <w:lang w:val="en-US"/>
              </w:rPr>
            </w:pPr>
            <w:r w:rsidRPr="003E07DD">
              <w:rPr>
                <w:rFonts w:cs="Arial"/>
                <w:color w:val="auto"/>
                <w:sz w:val="20"/>
                <w:szCs w:val="20"/>
              </w:rPr>
              <w:t>PC26 SR</w:t>
            </w:r>
          </w:p>
        </w:tc>
      </w:tr>
      <w:tr w:rsidR="003E07DD" w:rsidRPr="003E07DD" w14:paraId="1A40BB7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A00D030" w14:textId="77777777" w:rsidR="007A638A" w:rsidRPr="003E07DD" w:rsidRDefault="007A638A">
            <w:pPr>
              <w:keepNext/>
              <w:spacing w:after="160"/>
              <w:jc w:val="left"/>
              <w:rPr>
                <w:rFonts w:cs="Arial"/>
                <w:color w:val="auto"/>
                <w:sz w:val="20"/>
                <w:szCs w:val="20"/>
                <w:lang w:val="en-U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0C3FA851" w14:textId="61E917EF" w:rsidR="007A638A" w:rsidRPr="003E07DD" w:rsidRDefault="00534FEF" w:rsidP="00534FEF">
            <w:pPr>
              <w:keepNext/>
              <w:spacing w:after="0"/>
              <w:ind w:left="641"/>
              <w:jc w:val="center"/>
              <w:rPr>
                <w:rFonts w:cs="Arial"/>
                <w:color w:val="auto"/>
                <w:sz w:val="20"/>
                <w:szCs w:val="20"/>
              </w:rPr>
            </w:pPr>
            <w:r w:rsidRPr="003E07DD">
              <w:rPr>
                <w:rFonts w:cs="Arial"/>
                <w:b/>
                <w:color w:val="auto"/>
                <w:sz w:val="20"/>
                <w:szCs w:val="20"/>
              </w:rPr>
              <w:t>Respect de la Convention</w:t>
            </w:r>
            <w:r w:rsidR="007A638A" w:rsidRPr="003E07DD">
              <w:rPr>
                <w:rFonts w:cs="Arial"/>
                <w:b/>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0128EE0B" w14:textId="77777777" w:rsidR="007A638A" w:rsidRPr="003E07DD" w:rsidRDefault="007A638A">
            <w:pPr>
              <w:keepNext/>
              <w:spacing w:after="160"/>
              <w:jc w:val="left"/>
              <w:rPr>
                <w:rFonts w:cs="Arial"/>
                <w:color w:val="auto"/>
                <w:sz w:val="20"/>
                <w:szCs w:val="20"/>
              </w:rPr>
            </w:pPr>
          </w:p>
        </w:tc>
      </w:tr>
      <w:tr w:rsidR="003E07DD" w:rsidRPr="007C7B45" w14:paraId="016DFE30"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A929" w14:textId="48C9402D" w:rsidR="007A638A" w:rsidRPr="003E07DD" w:rsidRDefault="007A638A">
            <w:pPr>
              <w:spacing w:after="0"/>
              <w:jc w:val="left"/>
              <w:rPr>
                <w:rFonts w:cs="Arial"/>
                <w:color w:val="auto"/>
                <w:sz w:val="20"/>
                <w:szCs w:val="20"/>
              </w:rPr>
            </w:pPr>
            <w:r w:rsidRPr="003E07DD">
              <w:rPr>
                <w:rFonts w:cs="Arial"/>
                <w:color w:val="auto"/>
                <w:sz w:val="20"/>
                <w:szCs w:val="20"/>
              </w:rPr>
              <w:t xml:space="preserve">19.71 </w:t>
            </w:r>
            <w:r w:rsidR="009940CD" w:rsidRPr="003E07DD">
              <w:rPr>
                <w:rFonts w:cs="Arial"/>
                <w:color w:val="auto"/>
                <w:sz w:val="20"/>
                <w:szCs w:val="20"/>
              </w:rPr>
              <w:t>à</w:t>
            </w:r>
            <w:r w:rsidRPr="003E07DD">
              <w:rPr>
                <w:rFonts w:cs="Arial"/>
                <w:color w:val="auto"/>
                <w:sz w:val="20"/>
                <w:szCs w:val="20"/>
              </w:rPr>
              <w:t xml:space="preserve"> 19.73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3218A" w14:textId="43E879C8" w:rsidR="00A439E1" w:rsidRPr="003E07DD" w:rsidRDefault="00534FEF" w:rsidP="00534FEF">
            <w:pPr>
              <w:tabs>
                <w:tab w:val="center" w:pos="1694"/>
                <w:tab w:val="center" w:pos="2711"/>
                <w:tab w:val="right" w:pos="4251"/>
              </w:tabs>
              <w:spacing w:after="0"/>
              <w:jc w:val="left"/>
              <w:rPr>
                <w:rFonts w:cs="Arial"/>
                <w:color w:val="auto"/>
                <w:sz w:val="20"/>
                <w:szCs w:val="20"/>
              </w:rPr>
            </w:pPr>
            <w:r w:rsidRPr="003E07DD">
              <w:rPr>
                <w:rFonts w:cs="Arial"/>
                <w:color w:val="auto"/>
                <w:sz w:val="20"/>
                <w:szCs w:val="20"/>
              </w:rPr>
              <w:t>Palissandres et bois de rose malgaches (</w:t>
            </w:r>
            <w:r w:rsidRPr="003E07DD">
              <w:rPr>
                <w:rFonts w:cs="Arial"/>
                <w:i/>
                <w:color w:val="auto"/>
                <w:sz w:val="20"/>
                <w:szCs w:val="20"/>
              </w:rPr>
              <w:t>Dalbergia</w:t>
            </w:r>
            <w:r w:rsidRPr="003E07DD">
              <w:rPr>
                <w:rFonts w:cs="Arial"/>
                <w:color w:val="auto"/>
                <w:sz w:val="20"/>
                <w:szCs w:val="20"/>
              </w:rPr>
              <w:t xml:space="preserve"> </w:t>
            </w:r>
            <w:proofErr w:type="spellStart"/>
            <w:r w:rsidRPr="003E07DD">
              <w:rPr>
                <w:rFonts w:cs="Arial"/>
                <w:color w:val="auto"/>
                <w:sz w:val="20"/>
                <w:szCs w:val="20"/>
              </w:rPr>
              <w:t>spp</w:t>
            </w:r>
            <w:proofErr w:type="spellEnd"/>
            <w:r w:rsidRPr="003E07DD">
              <w:rPr>
                <w:rFonts w:cs="Arial"/>
                <w:color w:val="auto"/>
                <w:sz w:val="20"/>
                <w:szCs w:val="20"/>
              </w:rPr>
              <w:t>.) et ébènes (</w:t>
            </w:r>
            <w:proofErr w:type="spellStart"/>
            <w:r w:rsidRPr="003E07DD">
              <w:rPr>
                <w:rFonts w:cs="Arial"/>
                <w:i/>
                <w:color w:val="auto"/>
                <w:sz w:val="20"/>
                <w:szCs w:val="20"/>
              </w:rPr>
              <w:t>Diospyros</w:t>
            </w:r>
            <w:proofErr w:type="spellEnd"/>
            <w:r w:rsidRPr="003E07DD">
              <w:rPr>
                <w:rFonts w:cs="Arial"/>
                <w:color w:val="auto"/>
                <w:sz w:val="20"/>
                <w:szCs w:val="20"/>
              </w:rPr>
              <w:t xml:space="preserve"> </w:t>
            </w:r>
            <w:proofErr w:type="spellStart"/>
            <w:r w:rsidRPr="003E07DD">
              <w:rPr>
                <w:rFonts w:cs="Arial"/>
                <w:color w:val="auto"/>
                <w:sz w:val="20"/>
                <w:szCs w:val="20"/>
              </w:rPr>
              <w:t>spp</w:t>
            </w:r>
            <w:proofErr w:type="spellEnd"/>
            <w:r w:rsidRPr="003E07DD">
              <w:rPr>
                <w:rFonts w:cs="Arial"/>
                <w:color w:val="auto"/>
                <w:sz w:val="20"/>
                <w:szCs w:val="20"/>
              </w:rPr>
              <w:t>.)</w:t>
            </w:r>
            <w:r w:rsidR="007A638A" w:rsidRPr="003E07DD">
              <w:rPr>
                <w:rFonts w:cs="Arial"/>
                <w:color w:val="auto"/>
                <w:sz w:val="20"/>
                <w:szCs w:val="20"/>
              </w:rPr>
              <w:t xml:space="preserve"> </w:t>
            </w:r>
          </w:p>
          <w:p w14:paraId="396466F0" w14:textId="391AE8D2" w:rsidR="007A638A" w:rsidRPr="003E07DD" w:rsidRDefault="007A638A">
            <w:pPr>
              <w:spacing w:after="0"/>
              <w:jc w:val="left"/>
              <w:rPr>
                <w:rFonts w:cs="Arial"/>
                <w:color w:val="auto"/>
                <w:sz w:val="20"/>
                <w:szCs w:val="20"/>
              </w:rPr>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DCE3E" w14:textId="5DD1E882" w:rsidR="007A638A" w:rsidRPr="003E07DD" w:rsidRDefault="00534FEF" w:rsidP="00534FEF">
            <w:pPr>
              <w:spacing w:after="0"/>
              <w:ind w:right="72"/>
              <w:rPr>
                <w:rFonts w:cs="Arial"/>
                <w:color w:val="auto"/>
                <w:sz w:val="20"/>
                <w:szCs w:val="20"/>
              </w:rPr>
            </w:pPr>
            <w:r w:rsidRPr="003E07DD">
              <w:rPr>
                <w:rFonts w:cs="Arial"/>
                <w:color w:val="auto"/>
                <w:sz w:val="20"/>
                <w:szCs w:val="20"/>
              </w:rPr>
              <w:t>Pour examen par le Comité permanent à sa 77e session (SC77).</w:t>
            </w:r>
            <w:r w:rsidR="007A638A" w:rsidRPr="003E07DD">
              <w:rPr>
                <w:rFonts w:cs="Arial"/>
                <w:color w:val="auto"/>
                <w:sz w:val="20"/>
                <w:szCs w:val="20"/>
              </w:rPr>
              <w:t xml:space="preserve"> </w:t>
            </w:r>
          </w:p>
        </w:tc>
      </w:tr>
      <w:tr w:rsidR="003E07DD" w:rsidRPr="003E07DD" w14:paraId="10BEB38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3BD2CDC"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B6EE152" w14:textId="40B26EE8" w:rsidR="007A638A" w:rsidRPr="003E07DD" w:rsidRDefault="00534FEF" w:rsidP="00534FEF">
            <w:pPr>
              <w:spacing w:after="0"/>
              <w:ind w:left="638"/>
              <w:jc w:val="center"/>
              <w:rPr>
                <w:rFonts w:cs="Arial"/>
                <w:color w:val="auto"/>
                <w:sz w:val="20"/>
                <w:szCs w:val="20"/>
              </w:rPr>
            </w:pPr>
            <w:r w:rsidRPr="003E07DD">
              <w:rPr>
                <w:rFonts w:cs="Arial"/>
                <w:b/>
                <w:color w:val="auto"/>
                <w:sz w:val="20"/>
                <w:szCs w:val="20"/>
              </w:rPr>
              <w:t>Réglementation du commerce</w:t>
            </w:r>
            <w:r w:rsidR="007A638A" w:rsidRPr="003E07DD">
              <w:rPr>
                <w:rFonts w:cs="Arial"/>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27C6CD4C" w14:textId="77777777" w:rsidR="007A638A" w:rsidRPr="003E07DD" w:rsidRDefault="007A638A">
            <w:pPr>
              <w:spacing w:after="160"/>
              <w:jc w:val="left"/>
              <w:rPr>
                <w:rFonts w:cs="Arial"/>
                <w:color w:val="auto"/>
                <w:sz w:val="20"/>
                <w:szCs w:val="20"/>
              </w:rPr>
            </w:pPr>
          </w:p>
        </w:tc>
      </w:tr>
      <w:tr w:rsidR="003E07DD" w:rsidRPr="003E07DD" w14:paraId="7609F40C"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107D" w14:textId="535622FF" w:rsidR="007A638A" w:rsidRPr="003E07DD" w:rsidRDefault="007A638A">
            <w:pPr>
              <w:spacing w:after="0"/>
              <w:jc w:val="left"/>
              <w:rPr>
                <w:rFonts w:cs="Arial"/>
                <w:color w:val="auto"/>
                <w:sz w:val="20"/>
                <w:szCs w:val="20"/>
              </w:rPr>
            </w:pPr>
            <w:r w:rsidRPr="003E07DD">
              <w:rPr>
                <w:rFonts w:cs="Arial"/>
                <w:color w:val="auto"/>
                <w:sz w:val="20"/>
                <w:szCs w:val="20"/>
              </w:rPr>
              <w:t xml:space="preserve">19.145 </w:t>
            </w:r>
            <w:r w:rsidR="009940CD" w:rsidRPr="003E07DD">
              <w:rPr>
                <w:rFonts w:cs="Arial"/>
                <w:color w:val="auto"/>
                <w:sz w:val="20"/>
                <w:szCs w:val="20"/>
              </w:rPr>
              <w:t>à</w:t>
            </w:r>
            <w:r w:rsidRPr="003E07DD">
              <w:rPr>
                <w:rFonts w:cs="Arial"/>
                <w:color w:val="auto"/>
                <w:sz w:val="20"/>
                <w:szCs w:val="20"/>
              </w:rPr>
              <w:t xml:space="preserve"> 19.148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7926E" w14:textId="34D36615" w:rsidR="007A638A" w:rsidRPr="003E07DD" w:rsidRDefault="00891E18" w:rsidP="00534FEF">
            <w:pPr>
              <w:spacing w:after="0"/>
              <w:jc w:val="left"/>
              <w:rPr>
                <w:rFonts w:cs="Arial"/>
                <w:color w:val="auto"/>
                <w:sz w:val="20"/>
                <w:szCs w:val="20"/>
              </w:rPr>
            </w:pPr>
            <w:r w:rsidRPr="003E07DD">
              <w:rPr>
                <w:rFonts w:asciiTheme="minorBidi" w:hAnsiTheme="minorBidi"/>
                <w:color w:val="auto"/>
                <w:sz w:val="20"/>
                <w:szCs w:val="20"/>
              </w:rPr>
              <w:t>Identification des bois et autres produits du bois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F7F8" w14:textId="3D6976A5" w:rsidR="00A439E1" w:rsidRPr="003E07DD" w:rsidRDefault="00534FEF" w:rsidP="00534FEF">
            <w:pPr>
              <w:spacing w:after="0"/>
              <w:rPr>
                <w:rFonts w:cs="Arial"/>
                <w:color w:val="auto"/>
                <w:sz w:val="20"/>
                <w:szCs w:val="20"/>
              </w:rPr>
            </w:pPr>
            <w:r w:rsidRPr="003E07DD">
              <w:rPr>
                <w:rFonts w:cs="Arial"/>
                <w:color w:val="auto"/>
                <w:sz w:val="20"/>
                <w:szCs w:val="20"/>
              </w:rPr>
              <w:t>PC26 Doc. 20 (Voir aussi la section 3 de l’annexe)</w:t>
            </w:r>
            <w:r w:rsidR="007A638A" w:rsidRPr="003E07DD">
              <w:rPr>
                <w:rFonts w:cs="Arial"/>
                <w:color w:val="auto"/>
                <w:sz w:val="20"/>
                <w:szCs w:val="20"/>
              </w:rPr>
              <w:t xml:space="preserve"> </w:t>
            </w:r>
          </w:p>
          <w:p w14:paraId="54D477EF" w14:textId="16B75510" w:rsidR="007A638A" w:rsidRPr="003E07DD" w:rsidRDefault="007A638A">
            <w:pPr>
              <w:spacing w:after="0"/>
              <w:jc w:val="left"/>
              <w:rPr>
                <w:rFonts w:cs="Arial"/>
                <w:color w:val="auto"/>
                <w:sz w:val="20"/>
                <w:szCs w:val="20"/>
                <w:lang w:val="en-US"/>
              </w:rPr>
            </w:pPr>
            <w:r w:rsidRPr="003E07DD">
              <w:rPr>
                <w:rFonts w:cs="Arial"/>
                <w:color w:val="auto"/>
                <w:sz w:val="20"/>
                <w:szCs w:val="20"/>
              </w:rPr>
              <w:t>PC26 SR</w:t>
            </w:r>
          </w:p>
        </w:tc>
      </w:tr>
      <w:tr w:rsidR="003E07DD" w:rsidRPr="007C7B45" w14:paraId="49416EFC"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76E46399" w14:textId="77777777" w:rsidR="007A638A" w:rsidRPr="003E07DD" w:rsidRDefault="007A638A">
            <w:pPr>
              <w:spacing w:after="160"/>
              <w:jc w:val="left"/>
              <w:rPr>
                <w:rFonts w:cs="Arial"/>
                <w:color w:val="auto"/>
                <w:sz w:val="20"/>
                <w:szCs w:val="20"/>
                <w:lang w:val="en-US"/>
              </w:rPr>
            </w:pPr>
          </w:p>
        </w:tc>
        <w:tc>
          <w:tcPr>
            <w:tcW w:w="4394" w:type="dxa"/>
            <w:tcBorders>
              <w:top w:val="single" w:sz="4" w:space="0" w:color="000000" w:themeColor="text1"/>
              <w:left w:val="nil"/>
              <w:bottom w:val="single" w:sz="4" w:space="0" w:color="000000" w:themeColor="text1"/>
              <w:right w:val="nil"/>
            </w:tcBorders>
          </w:tcPr>
          <w:p w14:paraId="32CDCC82" w14:textId="267FA7D7" w:rsidR="007A638A" w:rsidRPr="003E07DD" w:rsidRDefault="00037656" w:rsidP="00891E18">
            <w:pPr>
              <w:spacing w:after="0"/>
              <w:ind w:right="57"/>
              <w:jc w:val="center"/>
              <w:rPr>
                <w:rFonts w:cs="Arial"/>
                <w:color w:val="auto"/>
                <w:sz w:val="20"/>
                <w:szCs w:val="20"/>
              </w:rPr>
            </w:pPr>
            <w:r w:rsidRPr="003E07DD">
              <w:rPr>
                <w:rFonts w:cs="Arial"/>
                <w:i/>
                <w:color w:val="auto"/>
                <w:sz w:val="20"/>
                <w:szCs w:val="20"/>
                <w:u w:val="single"/>
              </w:rPr>
              <w:t>Dérogations et dispositions spéciales pour le commerce</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C2B6EAC" w14:textId="77777777" w:rsidR="007A638A" w:rsidRPr="003E07DD" w:rsidRDefault="007A638A">
            <w:pPr>
              <w:spacing w:after="160"/>
              <w:jc w:val="left"/>
              <w:rPr>
                <w:rFonts w:cs="Arial"/>
                <w:color w:val="auto"/>
                <w:sz w:val="20"/>
                <w:szCs w:val="20"/>
              </w:rPr>
            </w:pPr>
          </w:p>
        </w:tc>
      </w:tr>
      <w:tr w:rsidR="003E07DD" w:rsidRPr="003E07DD" w14:paraId="1F2BDDF7"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A3B8" w14:textId="77E5B809" w:rsidR="007A638A" w:rsidRPr="003E07DD" w:rsidRDefault="007A638A">
            <w:pPr>
              <w:spacing w:after="0"/>
              <w:jc w:val="left"/>
              <w:rPr>
                <w:rFonts w:cs="Arial"/>
                <w:color w:val="auto"/>
                <w:sz w:val="20"/>
                <w:szCs w:val="20"/>
              </w:rPr>
            </w:pPr>
            <w:r w:rsidRPr="003E07DD">
              <w:rPr>
                <w:rFonts w:cs="Arial"/>
                <w:color w:val="auto"/>
                <w:sz w:val="20"/>
                <w:szCs w:val="20"/>
              </w:rPr>
              <w:t xml:space="preserve">19.182 </w:t>
            </w:r>
            <w:r w:rsidR="009940CD" w:rsidRPr="003E07DD">
              <w:rPr>
                <w:rFonts w:cs="Arial"/>
                <w:color w:val="auto"/>
                <w:sz w:val="20"/>
                <w:szCs w:val="20"/>
              </w:rPr>
              <w:t>à</w:t>
            </w:r>
            <w:r w:rsidRPr="003E07DD">
              <w:rPr>
                <w:rFonts w:cs="Arial"/>
                <w:color w:val="auto"/>
                <w:sz w:val="20"/>
                <w:szCs w:val="20"/>
              </w:rPr>
              <w:t xml:space="preserve"> 19.183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B271" w14:textId="2F8CBDAA" w:rsidR="007A638A" w:rsidRPr="003E07DD" w:rsidRDefault="00037656" w:rsidP="00037656">
            <w:pPr>
              <w:spacing w:after="0"/>
              <w:jc w:val="left"/>
              <w:rPr>
                <w:rFonts w:cs="Arial"/>
                <w:color w:val="auto"/>
                <w:sz w:val="20"/>
                <w:szCs w:val="20"/>
              </w:rPr>
            </w:pPr>
            <w:r w:rsidRPr="003E07DD">
              <w:rPr>
                <w:rFonts w:cs="Arial"/>
                <w:color w:val="auto"/>
                <w:sz w:val="20"/>
                <w:szCs w:val="20"/>
              </w:rPr>
              <w:t>Orientations relatives à l’expression « reproduits artificiellement »</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056C0"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24 </w:t>
            </w:r>
          </w:p>
          <w:p w14:paraId="7661C0BC" w14:textId="01DA38C4"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0CC0FDD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0EF1555"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1F125E75" w14:textId="5C1D4A04" w:rsidR="007A638A" w:rsidRPr="003E07DD" w:rsidRDefault="00037656" w:rsidP="00037656">
            <w:pPr>
              <w:spacing w:after="0"/>
              <w:ind w:left="970"/>
              <w:jc w:val="left"/>
              <w:rPr>
                <w:rFonts w:cs="Arial"/>
                <w:color w:val="auto"/>
                <w:sz w:val="20"/>
                <w:szCs w:val="20"/>
              </w:rPr>
            </w:pPr>
            <w:r w:rsidRPr="003E07DD">
              <w:rPr>
                <w:rFonts w:cs="Arial"/>
                <w:b/>
                <w:color w:val="auto"/>
                <w:sz w:val="20"/>
                <w:szCs w:val="20"/>
              </w:rPr>
              <w:t>Conservation et commerce d’espèces</w:t>
            </w:r>
            <w:r w:rsidR="007A638A" w:rsidRPr="003E07DD">
              <w:rPr>
                <w:rFonts w:cs="Arial"/>
                <w:b/>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1EBE7CA8" w14:textId="77777777" w:rsidR="007A638A" w:rsidRPr="003E07DD" w:rsidRDefault="007A638A">
            <w:pPr>
              <w:spacing w:after="160"/>
              <w:jc w:val="left"/>
              <w:rPr>
                <w:rFonts w:cs="Arial"/>
                <w:color w:val="auto"/>
                <w:sz w:val="20"/>
                <w:szCs w:val="20"/>
              </w:rPr>
            </w:pPr>
          </w:p>
        </w:tc>
      </w:tr>
      <w:tr w:rsidR="003E07DD" w:rsidRPr="003E07DD" w14:paraId="25600912"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2D60B06"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tcPr>
          <w:p w14:paraId="4871C5B0" w14:textId="4346A769" w:rsidR="007A638A" w:rsidRPr="003E07DD" w:rsidRDefault="00037656" w:rsidP="00037656">
            <w:pPr>
              <w:spacing w:after="0"/>
              <w:ind w:left="641"/>
              <w:jc w:val="center"/>
              <w:rPr>
                <w:rFonts w:cs="Arial"/>
                <w:color w:val="auto"/>
                <w:sz w:val="20"/>
                <w:szCs w:val="20"/>
              </w:rPr>
            </w:pPr>
            <w:r w:rsidRPr="003E07DD">
              <w:rPr>
                <w:rFonts w:cs="Arial"/>
                <w:i/>
                <w:color w:val="auto"/>
                <w:sz w:val="20"/>
                <w:szCs w:val="20"/>
                <w:u w:val="single"/>
              </w:rPr>
              <w:t>Flore</w:t>
            </w:r>
            <w:r w:rsidR="007A638A" w:rsidRPr="003E07DD">
              <w:rPr>
                <w:rFonts w:cs="Arial"/>
                <w:i/>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4FB9C8FA" w14:textId="77777777" w:rsidR="007A638A" w:rsidRPr="003E07DD" w:rsidRDefault="007A638A">
            <w:pPr>
              <w:spacing w:after="160"/>
              <w:jc w:val="left"/>
              <w:rPr>
                <w:rFonts w:cs="Arial"/>
                <w:color w:val="auto"/>
                <w:sz w:val="20"/>
                <w:szCs w:val="20"/>
              </w:rPr>
            </w:pPr>
          </w:p>
        </w:tc>
      </w:tr>
      <w:tr w:rsidR="003E07DD" w:rsidRPr="003E07DD" w14:paraId="4D2A81F9"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C0BE" w14:textId="0F0431D6" w:rsidR="007A638A" w:rsidRPr="003E07DD" w:rsidRDefault="007A638A">
            <w:pPr>
              <w:spacing w:after="0"/>
              <w:jc w:val="left"/>
              <w:rPr>
                <w:rFonts w:cs="Arial"/>
                <w:color w:val="auto"/>
                <w:sz w:val="20"/>
                <w:szCs w:val="20"/>
              </w:rPr>
            </w:pPr>
            <w:r w:rsidRPr="003E07DD">
              <w:rPr>
                <w:rFonts w:cs="Arial"/>
                <w:color w:val="auto"/>
                <w:sz w:val="20"/>
                <w:szCs w:val="20"/>
              </w:rPr>
              <w:t>19.239</w:t>
            </w:r>
            <w:r w:rsidR="009940CD" w:rsidRPr="003E07DD">
              <w:rPr>
                <w:rFonts w:cs="Arial"/>
                <w:color w:val="auto"/>
                <w:sz w:val="20"/>
                <w:szCs w:val="20"/>
              </w:rPr>
              <w:t xml:space="preserve"> à </w:t>
            </w:r>
            <w:r w:rsidRPr="003E07DD">
              <w:rPr>
                <w:rFonts w:cs="Arial"/>
                <w:color w:val="auto"/>
                <w:sz w:val="20"/>
                <w:szCs w:val="20"/>
              </w:rPr>
              <w:t>19.240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249F" w14:textId="72C3BAB9" w:rsidR="007A638A" w:rsidRPr="003E07DD" w:rsidRDefault="00037656" w:rsidP="00037656">
            <w:pPr>
              <w:tabs>
                <w:tab w:val="center" w:pos="1436"/>
                <w:tab w:val="center" w:pos="2274"/>
                <w:tab w:val="right" w:pos="4251"/>
              </w:tabs>
              <w:spacing w:after="0"/>
              <w:jc w:val="left"/>
              <w:rPr>
                <w:rFonts w:cs="Arial"/>
                <w:color w:val="auto"/>
                <w:sz w:val="20"/>
                <w:szCs w:val="20"/>
              </w:rPr>
            </w:pPr>
            <w:r w:rsidRPr="003E07DD">
              <w:rPr>
                <w:rFonts w:cs="Arial"/>
                <w:color w:val="auto"/>
                <w:sz w:val="20"/>
                <w:szCs w:val="20"/>
              </w:rPr>
              <w:t>Taxons produisant du bois d'agar (</w:t>
            </w:r>
            <w:proofErr w:type="spellStart"/>
            <w:r w:rsidRPr="003E07DD">
              <w:rPr>
                <w:rFonts w:cs="Arial"/>
                <w:i/>
                <w:color w:val="auto"/>
                <w:sz w:val="20"/>
                <w:szCs w:val="20"/>
              </w:rPr>
              <w:t>Aquilaria</w:t>
            </w:r>
            <w:proofErr w:type="spellEnd"/>
            <w:r w:rsidRPr="003E07DD">
              <w:rPr>
                <w:rFonts w:cs="Arial"/>
                <w:color w:val="auto"/>
                <w:sz w:val="20"/>
                <w:szCs w:val="20"/>
              </w:rPr>
              <w:t> </w:t>
            </w:r>
            <w:proofErr w:type="spellStart"/>
            <w:r w:rsidRPr="003E07DD">
              <w:rPr>
                <w:rFonts w:cs="Arial"/>
                <w:color w:val="auto"/>
                <w:sz w:val="20"/>
                <w:szCs w:val="20"/>
              </w:rPr>
              <w:t>spp</w:t>
            </w:r>
            <w:proofErr w:type="spellEnd"/>
            <w:r w:rsidRPr="003E07DD">
              <w:rPr>
                <w:rFonts w:cs="Arial"/>
                <w:color w:val="auto"/>
                <w:sz w:val="20"/>
                <w:szCs w:val="20"/>
              </w:rPr>
              <w:t xml:space="preserve">. </w:t>
            </w:r>
            <w:proofErr w:type="gramStart"/>
            <w:r w:rsidRPr="003E07DD">
              <w:rPr>
                <w:rFonts w:cs="Arial"/>
                <w:color w:val="auto"/>
                <w:sz w:val="20"/>
                <w:szCs w:val="20"/>
              </w:rPr>
              <w:t>et</w:t>
            </w:r>
            <w:proofErr w:type="gramEnd"/>
            <w:r w:rsidRPr="003E07DD">
              <w:rPr>
                <w:rFonts w:cs="Arial"/>
                <w:color w:val="auto"/>
                <w:sz w:val="20"/>
                <w:szCs w:val="20"/>
              </w:rPr>
              <w:t xml:space="preserve"> </w:t>
            </w:r>
            <w:proofErr w:type="spellStart"/>
            <w:r w:rsidRPr="003E07DD">
              <w:rPr>
                <w:rFonts w:cs="Arial"/>
                <w:i/>
                <w:color w:val="auto"/>
                <w:sz w:val="20"/>
                <w:szCs w:val="20"/>
              </w:rPr>
              <w:t>Gyrinops</w:t>
            </w:r>
            <w:proofErr w:type="spellEnd"/>
            <w:r w:rsidRPr="003E07DD">
              <w:rPr>
                <w:rFonts w:cs="Arial"/>
                <w:color w:val="auto"/>
                <w:sz w:val="20"/>
                <w:szCs w:val="20"/>
              </w:rPr>
              <w:t> </w:t>
            </w:r>
            <w:proofErr w:type="spellStart"/>
            <w:r w:rsidRPr="003E07DD">
              <w:rPr>
                <w:rFonts w:cs="Arial"/>
                <w:color w:val="auto"/>
                <w:sz w:val="20"/>
                <w:szCs w:val="20"/>
              </w:rPr>
              <w:t>spp</w:t>
            </w:r>
            <w:proofErr w:type="spellEnd"/>
            <w:r w:rsidRPr="003E07DD">
              <w:rPr>
                <w:rFonts w:cs="Arial"/>
                <w:color w:val="auto"/>
                <w:sz w:val="20"/>
                <w:szCs w:val="20"/>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89D09" w14:textId="77777777" w:rsidR="00A439E1" w:rsidRPr="003E07DD" w:rsidRDefault="007A638A">
            <w:pPr>
              <w:spacing w:after="0"/>
              <w:rPr>
                <w:rFonts w:cs="Arial"/>
                <w:color w:val="auto"/>
                <w:sz w:val="20"/>
                <w:szCs w:val="20"/>
                <w:lang w:val="en-US"/>
              </w:rPr>
            </w:pPr>
            <w:r w:rsidRPr="003E07DD">
              <w:rPr>
                <w:rFonts w:cs="Arial"/>
                <w:color w:val="auto"/>
                <w:sz w:val="20"/>
                <w:szCs w:val="20"/>
                <w:lang w:val="en-US"/>
              </w:rPr>
              <w:t>PC26 Doc. 27</w:t>
            </w:r>
          </w:p>
          <w:p w14:paraId="2DF28D7B" w14:textId="2FD8635C" w:rsidR="007A638A" w:rsidRPr="003E07DD" w:rsidRDefault="007A638A">
            <w:pPr>
              <w:spacing w:after="0"/>
              <w:jc w:val="left"/>
              <w:rPr>
                <w:rFonts w:cs="Arial"/>
                <w:color w:val="auto"/>
                <w:sz w:val="20"/>
                <w:szCs w:val="20"/>
                <w:lang w:val="en-US"/>
              </w:rPr>
            </w:pPr>
            <w:r w:rsidRPr="003E07DD">
              <w:rPr>
                <w:rFonts w:cs="Arial"/>
                <w:color w:val="auto"/>
                <w:sz w:val="20"/>
                <w:szCs w:val="20"/>
              </w:rPr>
              <w:t>PC26 SR</w:t>
            </w:r>
          </w:p>
        </w:tc>
      </w:tr>
      <w:tr w:rsidR="003E07DD" w:rsidRPr="003E07DD" w14:paraId="369D5F7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0293" w14:textId="27FF79DB" w:rsidR="007A638A" w:rsidRPr="003E07DD" w:rsidRDefault="007A638A">
            <w:pPr>
              <w:spacing w:after="0"/>
              <w:jc w:val="left"/>
              <w:rPr>
                <w:rFonts w:cs="Arial"/>
                <w:color w:val="auto"/>
                <w:sz w:val="20"/>
                <w:szCs w:val="20"/>
              </w:rPr>
            </w:pPr>
            <w:r w:rsidRPr="003E07DD">
              <w:rPr>
                <w:rFonts w:cs="Arial"/>
                <w:color w:val="auto"/>
                <w:sz w:val="20"/>
                <w:szCs w:val="20"/>
              </w:rPr>
              <w:t xml:space="preserve">19.241 </w:t>
            </w:r>
            <w:r w:rsidR="009940CD" w:rsidRPr="003E07DD">
              <w:rPr>
                <w:rFonts w:cs="Arial"/>
                <w:color w:val="auto"/>
                <w:sz w:val="20"/>
                <w:szCs w:val="20"/>
              </w:rPr>
              <w:t>et</w:t>
            </w:r>
            <w:r w:rsidRPr="003E07DD">
              <w:rPr>
                <w:rFonts w:cs="Arial"/>
                <w:color w:val="auto"/>
                <w:sz w:val="20"/>
                <w:szCs w:val="20"/>
              </w:rPr>
              <w:t xml:space="preserve"> 19.242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A86E" w14:textId="6AD0C302" w:rsidR="007A638A" w:rsidRPr="003E07DD" w:rsidRDefault="00F423B6" w:rsidP="00F423B6">
            <w:pPr>
              <w:tabs>
                <w:tab w:val="center" w:pos="1436"/>
                <w:tab w:val="center" w:pos="2274"/>
                <w:tab w:val="right" w:pos="4251"/>
              </w:tabs>
              <w:spacing w:after="0"/>
              <w:jc w:val="left"/>
              <w:rPr>
                <w:rFonts w:cs="Arial"/>
                <w:color w:val="auto"/>
                <w:sz w:val="20"/>
                <w:szCs w:val="20"/>
                <w:lang w:val="en-GB"/>
              </w:rPr>
            </w:pPr>
            <w:r w:rsidRPr="003E07DD">
              <w:rPr>
                <w:rFonts w:cs="Arial"/>
                <w:color w:val="auto"/>
                <w:sz w:val="20"/>
                <w:szCs w:val="20"/>
                <w:lang w:val="en-GB"/>
              </w:rPr>
              <w:t>Boswellia (</w:t>
            </w:r>
            <w:r w:rsidRPr="003E07DD">
              <w:rPr>
                <w:rFonts w:cs="Arial"/>
                <w:i/>
                <w:iCs/>
                <w:color w:val="auto"/>
                <w:sz w:val="20"/>
                <w:szCs w:val="20"/>
                <w:lang w:val="en-GB"/>
              </w:rPr>
              <w:t>Boswellia</w:t>
            </w:r>
            <w:r w:rsidRPr="003E07DD">
              <w:rPr>
                <w:rFonts w:cs="Arial"/>
                <w:color w:val="auto"/>
                <w:sz w:val="20"/>
                <w:szCs w:val="20"/>
                <w:lang w:val="en-GB"/>
              </w:rPr>
              <w:t xml:space="preserve"> spp.)</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A5520" w14:textId="77777777" w:rsidR="00A439E1" w:rsidRPr="003E07DD" w:rsidRDefault="007A638A">
            <w:pPr>
              <w:spacing w:after="0"/>
              <w:rPr>
                <w:rFonts w:cs="Arial"/>
                <w:color w:val="auto"/>
                <w:sz w:val="20"/>
                <w:szCs w:val="20"/>
                <w:lang w:val="en-US"/>
              </w:rPr>
            </w:pPr>
            <w:r w:rsidRPr="003E07DD">
              <w:rPr>
                <w:rFonts w:cs="Arial"/>
                <w:color w:val="auto"/>
                <w:sz w:val="20"/>
                <w:szCs w:val="20"/>
                <w:lang w:val="en-US"/>
              </w:rPr>
              <w:t>PC26 Doc. 28.1</w:t>
            </w:r>
          </w:p>
          <w:p w14:paraId="37555E73" w14:textId="77777777" w:rsidR="00A439E1" w:rsidRPr="003E07DD" w:rsidRDefault="007A638A">
            <w:pPr>
              <w:spacing w:after="0"/>
              <w:rPr>
                <w:rFonts w:cs="Arial"/>
                <w:color w:val="auto"/>
                <w:sz w:val="20"/>
                <w:szCs w:val="20"/>
                <w:lang w:val="en-US"/>
              </w:rPr>
            </w:pPr>
            <w:r w:rsidRPr="003E07DD">
              <w:rPr>
                <w:rFonts w:cs="Arial"/>
                <w:color w:val="auto"/>
                <w:sz w:val="20"/>
                <w:szCs w:val="20"/>
                <w:lang w:val="en-US"/>
              </w:rPr>
              <w:t>PC26 Doc. 28.2</w:t>
            </w:r>
          </w:p>
          <w:p w14:paraId="34944164" w14:textId="1A2FD043" w:rsidR="007A638A" w:rsidRPr="003E07DD" w:rsidRDefault="007A638A">
            <w:pPr>
              <w:spacing w:after="0"/>
              <w:jc w:val="left"/>
              <w:rPr>
                <w:rFonts w:cs="Arial"/>
                <w:color w:val="auto"/>
                <w:sz w:val="20"/>
                <w:szCs w:val="20"/>
                <w:lang w:val="en-US"/>
              </w:rPr>
            </w:pPr>
            <w:r w:rsidRPr="003E07DD">
              <w:rPr>
                <w:rFonts w:cs="Arial"/>
                <w:color w:val="auto"/>
                <w:sz w:val="20"/>
                <w:szCs w:val="20"/>
                <w:lang w:val="en-GB"/>
              </w:rPr>
              <w:t>PC26 SR</w:t>
            </w:r>
          </w:p>
        </w:tc>
      </w:tr>
      <w:tr w:rsidR="003E07DD" w:rsidRPr="003E07DD" w14:paraId="0415189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0C4E" w14:textId="0A541982" w:rsidR="007A638A" w:rsidRPr="003E07DD" w:rsidRDefault="007A638A">
            <w:pPr>
              <w:spacing w:after="0"/>
              <w:jc w:val="left"/>
              <w:rPr>
                <w:rFonts w:cs="Arial"/>
                <w:color w:val="auto"/>
                <w:sz w:val="20"/>
                <w:szCs w:val="20"/>
              </w:rPr>
            </w:pPr>
            <w:r w:rsidRPr="003E07DD">
              <w:rPr>
                <w:rFonts w:cs="Arial"/>
                <w:color w:val="auto"/>
                <w:sz w:val="20"/>
                <w:szCs w:val="20"/>
              </w:rPr>
              <w:t xml:space="preserve">19.243 </w:t>
            </w:r>
            <w:r w:rsidR="009940CD" w:rsidRPr="003E07DD">
              <w:rPr>
                <w:rFonts w:cs="Arial"/>
                <w:color w:val="auto"/>
                <w:sz w:val="20"/>
                <w:szCs w:val="20"/>
              </w:rPr>
              <w:t>à</w:t>
            </w:r>
            <w:r w:rsidRPr="003E07DD">
              <w:rPr>
                <w:rFonts w:cs="Arial"/>
                <w:color w:val="auto"/>
                <w:sz w:val="20"/>
                <w:szCs w:val="20"/>
              </w:rPr>
              <w:t xml:space="preserve"> 19.245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2B13F" w14:textId="2F8D8025" w:rsidR="00A439E1" w:rsidRPr="003E07DD" w:rsidRDefault="00F423B6" w:rsidP="00F423B6">
            <w:pPr>
              <w:tabs>
                <w:tab w:val="center" w:pos="1436"/>
                <w:tab w:val="center" w:pos="2274"/>
                <w:tab w:val="right" w:pos="4251"/>
              </w:tabs>
              <w:spacing w:after="0"/>
              <w:jc w:val="left"/>
              <w:rPr>
                <w:rFonts w:cs="Arial"/>
                <w:color w:val="auto"/>
                <w:sz w:val="20"/>
                <w:szCs w:val="20"/>
              </w:rPr>
            </w:pPr>
            <w:r w:rsidRPr="003E07DD">
              <w:rPr>
                <w:rFonts w:cs="Arial"/>
                <w:color w:val="auto"/>
                <w:sz w:val="20"/>
                <w:szCs w:val="20"/>
              </w:rPr>
              <w:t>Espèces de bois de rose [</w:t>
            </w:r>
            <w:proofErr w:type="spellStart"/>
            <w:r w:rsidRPr="003E07DD">
              <w:rPr>
                <w:rFonts w:cs="Arial"/>
                <w:color w:val="auto"/>
                <w:sz w:val="20"/>
                <w:szCs w:val="20"/>
              </w:rPr>
              <w:t>Leguminosae</w:t>
            </w:r>
            <w:proofErr w:type="spellEnd"/>
            <w:r w:rsidR="007A638A" w:rsidRPr="003E07DD">
              <w:rPr>
                <w:rFonts w:cs="Arial"/>
                <w:color w:val="auto"/>
                <w:sz w:val="20"/>
                <w:szCs w:val="20"/>
              </w:rPr>
              <w:t xml:space="preserve"> </w:t>
            </w:r>
          </w:p>
          <w:p w14:paraId="7644AE1C" w14:textId="5B1395B2" w:rsidR="007A638A" w:rsidRPr="003E07DD" w:rsidRDefault="007A638A">
            <w:pPr>
              <w:spacing w:after="0"/>
              <w:jc w:val="left"/>
              <w:rPr>
                <w:rFonts w:cs="Arial"/>
                <w:color w:val="auto"/>
                <w:sz w:val="20"/>
                <w:szCs w:val="20"/>
                <w:lang w:val="en-US"/>
              </w:rPr>
            </w:pPr>
            <w:r w:rsidRPr="003E07DD">
              <w:rPr>
                <w:rFonts w:cs="Arial"/>
                <w:color w:val="auto"/>
                <w:sz w:val="20"/>
                <w:szCs w:val="20"/>
                <w:lang w:val="en-US"/>
              </w:rPr>
              <w:t xml:space="preserve">(Fabaceae)]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433DB" w14:textId="4BA125EA" w:rsidR="00A439E1" w:rsidRPr="003E07DD" w:rsidRDefault="00F423B6" w:rsidP="00F423B6">
            <w:pPr>
              <w:spacing w:after="0"/>
              <w:rPr>
                <w:rFonts w:cs="Arial"/>
                <w:color w:val="auto"/>
                <w:sz w:val="20"/>
                <w:szCs w:val="20"/>
              </w:rPr>
            </w:pPr>
            <w:r w:rsidRPr="003E07DD">
              <w:rPr>
                <w:rFonts w:cs="Arial"/>
                <w:color w:val="auto"/>
                <w:sz w:val="20"/>
                <w:szCs w:val="20"/>
              </w:rPr>
              <w:t>PC26 Doc. 29 (Voir aussi la section 3 de l’annexe)</w:t>
            </w:r>
            <w:r w:rsidR="007A638A" w:rsidRPr="003E07DD">
              <w:rPr>
                <w:rFonts w:cs="Arial"/>
                <w:color w:val="auto"/>
                <w:sz w:val="20"/>
                <w:szCs w:val="20"/>
              </w:rPr>
              <w:t xml:space="preserve"> </w:t>
            </w:r>
          </w:p>
          <w:p w14:paraId="5EE14B5D" w14:textId="300B038E" w:rsidR="007A638A" w:rsidRPr="003E07DD" w:rsidRDefault="007A638A">
            <w:pPr>
              <w:spacing w:after="0"/>
              <w:jc w:val="left"/>
              <w:rPr>
                <w:rFonts w:cs="Arial"/>
                <w:color w:val="auto"/>
                <w:sz w:val="20"/>
                <w:szCs w:val="20"/>
                <w:lang w:val="en-US"/>
              </w:rPr>
            </w:pPr>
            <w:r w:rsidRPr="003E07DD">
              <w:rPr>
                <w:rFonts w:cs="Arial"/>
                <w:color w:val="auto"/>
                <w:sz w:val="20"/>
                <w:szCs w:val="20"/>
              </w:rPr>
              <w:t>PC26 SR</w:t>
            </w:r>
          </w:p>
        </w:tc>
      </w:tr>
      <w:tr w:rsidR="003E07DD" w:rsidRPr="003E07DD" w14:paraId="51001C33"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F840" w14:textId="19597D56" w:rsidR="007A638A" w:rsidRPr="003E07DD" w:rsidRDefault="007A638A">
            <w:pPr>
              <w:spacing w:after="0"/>
              <w:jc w:val="left"/>
              <w:rPr>
                <w:rFonts w:cs="Arial"/>
                <w:color w:val="auto"/>
                <w:sz w:val="20"/>
                <w:szCs w:val="20"/>
              </w:rPr>
            </w:pPr>
            <w:r w:rsidRPr="003E07DD">
              <w:rPr>
                <w:rFonts w:cs="Arial"/>
                <w:color w:val="auto"/>
                <w:sz w:val="20"/>
                <w:szCs w:val="20"/>
              </w:rPr>
              <w:t xml:space="preserve">19.246 </w:t>
            </w:r>
            <w:r w:rsidR="009940CD" w:rsidRPr="003E07DD">
              <w:rPr>
                <w:rFonts w:cs="Arial"/>
                <w:color w:val="auto"/>
                <w:sz w:val="20"/>
                <w:szCs w:val="20"/>
              </w:rPr>
              <w:t>à</w:t>
            </w:r>
            <w:r w:rsidRPr="003E07DD">
              <w:rPr>
                <w:rFonts w:cs="Arial"/>
                <w:color w:val="auto"/>
                <w:sz w:val="20"/>
                <w:szCs w:val="20"/>
              </w:rPr>
              <w:t xml:space="preserve"> 19.248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8D35" w14:textId="26368AA5" w:rsidR="007A638A" w:rsidRPr="003E07DD" w:rsidRDefault="00F423B6" w:rsidP="00F423B6">
            <w:pPr>
              <w:tabs>
                <w:tab w:val="center" w:pos="1436"/>
                <w:tab w:val="center" w:pos="2274"/>
                <w:tab w:val="right" w:pos="4251"/>
              </w:tabs>
              <w:spacing w:after="0"/>
              <w:jc w:val="left"/>
              <w:rPr>
                <w:rFonts w:cs="Arial"/>
                <w:color w:val="auto"/>
                <w:sz w:val="20"/>
                <w:szCs w:val="20"/>
              </w:rPr>
            </w:pPr>
            <w:r w:rsidRPr="003E07DD">
              <w:rPr>
                <w:rFonts w:cs="Arial"/>
                <w:color w:val="auto"/>
                <w:sz w:val="20"/>
                <w:szCs w:val="20"/>
              </w:rPr>
              <w:t>Produits contenant des spécimens d’orchidées de l’Annexe II (</w:t>
            </w:r>
            <w:proofErr w:type="spellStart"/>
            <w:r w:rsidRPr="003E07DD">
              <w:rPr>
                <w:rFonts w:cs="Arial"/>
                <w:color w:val="auto"/>
                <w:sz w:val="20"/>
                <w:szCs w:val="20"/>
              </w:rPr>
              <w:t>Orchidaceae</w:t>
            </w:r>
            <w:proofErr w:type="spellEnd"/>
            <w:r w:rsidRPr="003E07DD">
              <w:rPr>
                <w:rFonts w:cs="Arial"/>
                <w:color w:val="auto"/>
                <w:sz w:val="20"/>
                <w:szCs w:val="20"/>
              </w:rPr>
              <w:t> </w:t>
            </w:r>
            <w:proofErr w:type="spellStart"/>
            <w:r w:rsidRPr="003E07DD">
              <w:rPr>
                <w:rFonts w:cs="Arial"/>
                <w:color w:val="auto"/>
                <w:sz w:val="20"/>
                <w:szCs w:val="20"/>
              </w:rPr>
              <w:t>spp</w:t>
            </w:r>
            <w:proofErr w:type="spellEnd"/>
            <w:r w:rsidRPr="003E07DD">
              <w:rPr>
                <w:rFonts w:cs="Arial"/>
                <w:color w:val="auto"/>
                <w:sz w:val="20"/>
                <w:szCs w:val="20"/>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6E92E" w14:textId="77777777" w:rsidR="00A439E1" w:rsidRPr="003E07DD" w:rsidRDefault="007A638A">
            <w:pPr>
              <w:spacing w:after="0"/>
              <w:rPr>
                <w:rFonts w:cs="Arial"/>
                <w:color w:val="auto"/>
                <w:sz w:val="20"/>
                <w:szCs w:val="20"/>
                <w:lang w:val="en-US"/>
              </w:rPr>
            </w:pPr>
            <w:r w:rsidRPr="003E07DD">
              <w:rPr>
                <w:rFonts w:cs="Arial"/>
                <w:color w:val="auto"/>
                <w:sz w:val="20"/>
                <w:szCs w:val="20"/>
                <w:lang w:val="en-US"/>
              </w:rPr>
              <w:t>PC26 Doc. 30</w:t>
            </w:r>
          </w:p>
          <w:p w14:paraId="53CBEAEB" w14:textId="6ECF615C" w:rsidR="007A638A" w:rsidRPr="003E07DD" w:rsidRDefault="007A638A">
            <w:pPr>
              <w:spacing w:after="0"/>
              <w:jc w:val="left"/>
              <w:rPr>
                <w:rFonts w:cs="Arial"/>
                <w:color w:val="auto"/>
                <w:sz w:val="20"/>
                <w:szCs w:val="20"/>
                <w:lang w:val="en-US"/>
              </w:rPr>
            </w:pPr>
            <w:r w:rsidRPr="003E07DD">
              <w:rPr>
                <w:rFonts w:cs="Arial"/>
                <w:color w:val="auto"/>
                <w:sz w:val="20"/>
                <w:szCs w:val="20"/>
              </w:rPr>
              <w:t>PC26 SR</w:t>
            </w:r>
          </w:p>
        </w:tc>
      </w:tr>
      <w:tr w:rsidR="003E07DD" w:rsidRPr="003E07DD" w14:paraId="1D2CC2C6"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C0C6" w14:textId="7E0727B3" w:rsidR="007A638A" w:rsidRPr="003E07DD" w:rsidRDefault="007A638A">
            <w:pPr>
              <w:spacing w:after="0"/>
              <w:jc w:val="left"/>
              <w:rPr>
                <w:rFonts w:cs="Arial"/>
                <w:color w:val="auto"/>
                <w:sz w:val="20"/>
                <w:szCs w:val="20"/>
              </w:rPr>
            </w:pPr>
            <w:r w:rsidRPr="003E07DD">
              <w:rPr>
                <w:rFonts w:cs="Arial"/>
                <w:color w:val="auto"/>
                <w:sz w:val="20"/>
                <w:szCs w:val="20"/>
              </w:rPr>
              <w:t xml:space="preserve">19.249 </w:t>
            </w:r>
            <w:r w:rsidR="009940CD" w:rsidRPr="003E07DD">
              <w:rPr>
                <w:rFonts w:cs="Arial"/>
                <w:color w:val="auto"/>
                <w:sz w:val="20"/>
                <w:szCs w:val="20"/>
              </w:rPr>
              <w:t>à</w:t>
            </w:r>
            <w:r w:rsidRPr="003E07DD">
              <w:rPr>
                <w:rFonts w:cs="Arial"/>
                <w:color w:val="auto"/>
                <w:sz w:val="20"/>
                <w:szCs w:val="20"/>
              </w:rPr>
              <w:t xml:space="preserve"> 19.253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E2328" w14:textId="602DAECF" w:rsidR="007A638A" w:rsidRPr="003E07DD" w:rsidRDefault="00F423B6" w:rsidP="00F423B6">
            <w:pPr>
              <w:spacing w:after="0"/>
              <w:jc w:val="left"/>
              <w:rPr>
                <w:rFonts w:cs="Arial"/>
                <w:color w:val="auto"/>
                <w:sz w:val="20"/>
                <w:szCs w:val="20"/>
              </w:rPr>
            </w:pPr>
            <w:r w:rsidRPr="003E07DD">
              <w:rPr>
                <w:rFonts w:cs="Arial"/>
                <w:color w:val="auto"/>
                <w:sz w:val="20"/>
                <w:szCs w:val="20"/>
              </w:rPr>
              <w:t>Bois-brésil (</w:t>
            </w:r>
            <w:proofErr w:type="spellStart"/>
            <w:r w:rsidRPr="003E07DD">
              <w:rPr>
                <w:rFonts w:cs="Arial"/>
                <w:i/>
                <w:color w:val="auto"/>
                <w:sz w:val="20"/>
                <w:szCs w:val="20"/>
              </w:rPr>
              <w:t>Paubrasilia</w:t>
            </w:r>
            <w:proofErr w:type="spellEnd"/>
            <w:r w:rsidRPr="003E07DD">
              <w:rPr>
                <w:rFonts w:cs="Arial"/>
                <w:i/>
                <w:color w:val="auto"/>
                <w:sz w:val="20"/>
                <w:szCs w:val="20"/>
              </w:rPr>
              <w:t xml:space="preserve"> </w:t>
            </w:r>
            <w:proofErr w:type="spellStart"/>
            <w:r w:rsidRPr="003E07DD">
              <w:rPr>
                <w:rFonts w:cs="Arial"/>
                <w:i/>
                <w:color w:val="auto"/>
                <w:sz w:val="20"/>
                <w:szCs w:val="20"/>
              </w:rPr>
              <w:t>echinata</w:t>
            </w:r>
            <w:proofErr w:type="spellEnd"/>
            <w:r w:rsidRPr="003E07DD">
              <w:rPr>
                <w:rFonts w:cs="Arial"/>
                <w:color w:val="auto"/>
                <w:sz w:val="20"/>
                <w:szCs w:val="20"/>
              </w:rPr>
              <w:t>)</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917B7"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31 </w:t>
            </w:r>
          </w:p>
          <w:p w14:paraId="7643AC0F" w14:textId="4DD310D2"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174DB569"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8DB34" w14:textId="33C40C27" w:rsidR="007A638A" w:rsidRPr="003E07DD" w:rsidRDefault="007A638A">
            <w:pPr>
              <w:spacing w:after="0"/>
              <w:jc w:val="left"/>
              <w:rPr>
                <w:rFonts w:cs="Arial"/>
                <w:color w:val="auto"/>
                <w:sz w:val="20"/>
                <w:szCs w:val="20"/>
              </w:rPr>
            </w:pPr>
            <w:r w:rsidRPr="003E07DD">
              <w:rPr>
                <w:rFonts w:cs="Arial"/>
                <w:color w:val="auto"/>
                <w:sz w:val="20"/>
                <w:szCs w:val="20"/>
              </w:rPr>
              <w:t xml:space="preserve">19.254 </w:t>
            </w:r>
            <w:r w:rsidR="009940CD" w:rsidRPr="003E07DD">
              <w:rPr>
                <w:rFonts w:cs="Arial"/>
                <w:color w:val="auto"/>
                <w:sz w:val="20"/>
                <w:szCs w:val="20"/>
              </w:rPr>
              <w:t>à</w:t>
            </w:r>
            <w:r w:rsidRPr="003E07DD">
              <w:rPr>
                <w:rFonts w:cs="Arial"/>
                <w:color w:val="auto"/>
                <w:sz w:val="20"/>
                <w:szCs w:val="20"/>
              </w:rPr>
              <w:t xml:space="preserve"> 19.256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3959" w14:textId="2619ECC3" w:rsidR="007A638A" w:rsidRPr="003E07DD" w:rsidRDefault="00F423B6" w:rsidP="00F423B6">
            <w:pPr>
              <w:spacing w:after="0"/>
              <w:jc w:val="left"/>
              <w:rPr>
                <w:rFonts w:cs="Arial"/>
                <w:color w:val="auto"/>
                <w:sz w:val="20"/>
                <w:szCs w:val="20"/>
              </w:rPr>
            </w:pPr>
            <w:r w:rsidRPr="003E07DD">
              <w:rPr>
                <w:rFonts w:cs="Arial"/>
                <w:color w:val="auto"/>
                <w:sz w:val="20"/>
                <w:szCs w:val="20"/>
              </w:rPr>
              <w:t>Espèces d'arbres africaines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F8259" w14:textId="77777777" w:rsidR="00A439E1" w:rsidRPr="003E07DD" w:rsidRDefault="007A638A">
            <w:pPr>
              <w:spacing w:after="0"/>
              <w:jc w:val="left"/>
              <w:rPr>
                <w:rFonts w:cs="Arial"/>
                <w:color w:val="auto"/>
                <w:sz w:val="20"/>
                <w:szCs w:val="20"/>
                <w:lang w:val="en-US"/>
              </w:rPr>
            </w:pPr>
            <w:r w:rsidRPr="003E07DD">
              <w:rPr>
                <w:rFonts w:cs="Arial"/>
                <w:color w:val="auto"/>
                <w:sz w:val="20"/>
                <w:szCs w:val="20"/>
                <w:lang w:val="en-US"/>
              </w:rPr>
              <w:t>PC26 Doc. 32</w:t>
            </w:r>
          </w:p>
          <w:p w14:paraId="5E023F92" w14:textId="65B8220F"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2D846AE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529CE" w14:textId="08A66719" w:rsidR="007A638A" w:rsidRPr="003E07DD" w:rsidRDefault="007A638A">
            <w:pPr>
              <w:spacing w:after="0"/>
              <w:jc w:val="left"/>
              <w:rPr>
                <w:rFonts w:cs="Arial"/>
                <w:color w:val="auto"/>
                <w:sz w:val="20"/>
                <w:szCs w:val="20"/>
              </w:rPr>
            </w:pPr>
            <w:r w:rsidRPr="003E07DD">
              <w:rPr>
                <w:rFonts w:cs="Arial"/>
                <w:color w:val="auto"/>
                <w:sz w:val="20"/>
                <w:szCs w:val="20"/>
              </w:rPr>
              <w:t xml:space="preserve">19.257 </w:t>
            </w:r>
            <w:r w:rsidR="009940CD" w:rsidRPr="003E07DD">
              <w:rPr>
                <w:rFonts w:cs="Arial"/>
                <w:color w:val="auto"/>
                <w:sz w:val="20"/>
                <w:szCs w:val="20"/>
              </w:rPr>
              <w:t>à</w:t>
            </w:r>
            <w:r w:rsidRPr="003E07DD">
              <w:rPr>
                <w:rFonts w:cs="Arial"/>
                <w:color w:val="auto"/>
                <w:sz w:val="20"/>
                <w:szCs w:val="20"/>
              </w:rPr>
              <w:t xml:space="preserve"> 19.260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18133" w14:textId="2FCE6C01" w:rsidR="007A638A" w:rsidRPr="003E07DD" w:rsidRDefault="00F423B6" w:rsidP="00F423B6">
            <w:pPr>
              <w:spacing w:after="0"/>
              <w:jc w:val="left"/>
              <w:rPr>
                <w:rFonts w:cs="Arial"/>
                <w:color w:val="auto"/>
                <w:sz w:val="20"/>
                <w:szCs w:val="20"/>
                <w:lang w:val="en-GB"/>
              </w:rPr>
            </w:pPr>
            <w:proofErr w:type="spellStart"/>
            <w:r w:rsidRPr="003E07DD">
              <w:rPr>
                <w:rFonts w:cs="Arial"/>
                <w:color w:val="auto"/>
                <w:sz w:val="20"/>
                <w:szCs w:val="20"/>
                <w:lang w:val="en-GB"/>
              </w:rPr>
              <w:t>Espèces</w:t>
            </w:r>
            <w:proofErr w:type="spellEnd"/>
            <w:r w:rsidRPr="003E07DD">
              <w:rPr>
                <w:rFonts w:cs="Arial"/>
                <w:color w:val="auto"/>
                <w:sz w:val="20"/>
                <w:szCs w:val="20"/>
                <w:lang w:val="en-GB"/>
              </w:rPr>
              <w:t xml:space="preserve"> </w:t>
            </w:r>
            <w:proofErr w:type="spellStart"/>
            <w:r w:rsidRPr="003E07DD">
              <w:rPr>
                <w:rFonts w:cs="Arial"/>
                <w:color w:val="auto"/>
                <w:sz w:val="20"/>
                <w:szCs w:val="20"/>
                <w:lang w:val="en-GB"/>
              </w:rPr>
              <w:t>d’arbres</w:t>
            </w:r>
            <w:proofErr w:type="spellEnd"/>
            <w:r w:rsidRPr="003E07DD">
              <w:rPr>
                <w:rFonts w:cs="Arial"/>
                <w:color w:val="auto"/>
                <w:sz w:val="20"/>
                <w:szCs w:val="20"/>
                <w:lang w:val="en-GB"/>
              </w:rPr>
              <w:t xml:space="preserve"> </w:t>
            </w:r>
            <w:proofErr w:type="spellStart"/>
            <w:r w:rsidRPr="003E07DD">
              <w:rPr>
                <w:rFonts w:cs="Arial"/>
                <w:color w:val="auto"/>
                <w:sz w:val="20"/>
                <w:szCs w:val="20"/>
                <w:lang w:val="en-GB"/>
              </w:rPr>
              <w:t>néotropicales</w:t>
            </w:r>
            <w:proofErr w:type="spellEnd"/>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4D5B" w14:textId="77777777" w:rsidR="00A439E1" w:rsidRPr="003E07DD" w:rsidRDefault="007A638A">
            <w:pPr>
              <w:spacing w:after="0"/>
              <w:jc w:val="left"/>
              <w:rPr>
                <w:rFonts w:cs="Arial"/>
                <w:color w:val="auto"/>
                <w:sz w:val="20"/>
                <w:szCs w:val="20"/>
                <w:lang w:val="en-US"/>
              </w:rPr>
            </w:pPr>
            <w:r w:rsidRPr="003E07DD">
              <w:rPr>
                <w:rFonts w:cs="Arial"/>
                <w:color w:val="auto"/>
                <w:sz w:val="20"/>
                <w:szCs w:val="20"/>
                <w:lang w:val="en-US"/>
              </w:rPr>
              <w:t>PC26 Doc. 33</w:t>
            </w:r>
          </w:p>
          <w:p w14:paraId="471FE441" w14:textId="712544CD" w:rsidR="007A638A" w:rsidRPr="003E07DD" w:rsidRDefault="007A638A">
            <w:pPr>
              <w:spacing w:after="0"/>
              <w:jc w:val="left"/>
              <w:rPr>
                <w:rFonts w:cs="Arial"/>
                <w:color w:val="auto"/>
                <w:sz w:val="20"/>
                <w:szCs w:val="20"/>
                <w:lang w:val="en-GB"/>
              </w:rPr>
            </w:pPr>
            <w:r w:rsidRPr="003E07DD">
              <w:rPr>
                <w:rFonts w:cs="Arial"/>
                <w:color w:val="auto"/>
                <w:sz w:val="20"/>
                <w:szCs w:val="20"/>
              </w:rPr>
              <w:t>PC26 SR</w:t>
            </w:r>
          </w:p>
        </w:tc>
      </w:tr>
      <w:tr w:rsidR="003E07DD" w:rsidRPr="003E07DD" w14:paraId="41E8CB0D"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6F3B8" w14:textId="5F495926" w:rsidR="007A638A" w:rsidRPr="003E07DD" w:rsidRDefault="007A638A">
            <w:pPr>
              <w:jc w:val="left"/>
              <w:rPr>
                <w:rFonts w:cs="Arial"/>
                <w:color w:val="auto"/>
                <w:sz w:val="20"/>
                <w:szCs w:val="20"/>
              </w:rPr>
            </w:pPr>
            <w:r w:rsidRPr="003E07DD">
              <w:rPr>
                <w:rFonts w:cs="Arial"/>
                <w:color w:val="auto"/>
                <w:sz w:val="20"/>
                <w:szCs w:val="20"/>
              </w:rPr>
              <w:t xml:space="preserve">19.261 </w:t>
            </w:r>
            <w:r w:rsidR="009940CD" w:rsidRPr="003E07DD">
              <w:rPr>
                <w:rFonts w:cs="Arial"/>
                <w:color w:val="auto"/>
                <w:sz w:val="20"/>
                <w:szCs w:val="20"/>
              </w:rPr>
              <w:t>à</w:t>
            </w:r>
            <w:r w:rsidRPr="003E07DD">
              <w:rPr>
                <w:rFonts w:cs="Arial"/>
                <w:color w:val="auto"/>
                <w:sz w:val="20"/>
                <w:szCs w:val="20"/>
              </w:rPr>
              <w:t xml:space="preserve"> 19.264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0A9B8" w14:textId="3A10AC40" w:rsidR="007A638A" w:rsidRPr="003E07DD" w:rsidRDefault="00CA4137" w:rsidP="00CA4137">
            <w:pPr>
              <w:jc w:val="left"/>
              <w:rPr>
                <w:rFonts w:cs="Arial"/>
                <w:color w:val="auto"/>
                <w:sz w:val="20"/>
                <w:szCs w:val="20"/>
              </w:rPr>
            </w:pPr>
            <w:r w:rsidRPr="003E07DD">
              <w:rPr>
                <w:rFonts w:cs="Arial"/>
                <w:color w:val="auto"/>
                <w:sz w:val="20"/>
                <w:szCs w:val="20"/>
              </w:rPr>
              <w:t>Commerce des plantes médicinales et aromatiques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4AFA" w14:textId="77777777" w:rsidR="00A439E1" w:rsidRPr="003E07DD" w:rsidRDefault="007A638A">
            <w:pPr>
              <w:spacing w:after="0"/>
              <w:ind w:hanging="11"/>
              <w:jc w:val="left"/>
              <w:rPr>
                <w:rFonts w:cs="Arial"/>
                <w:color w:val="auto"/>
                <w:sz w:val="20"/>
                <w:szCs w:val="20"/>
                <w:lang w:val="en-US"/>
              </w:rPr>
            </w:pPr>
            <w:r w:rsidRPr="003E07DD">
              <w:rPr>
                <w:rFonts w:cs="Arial"/>
                <w:color w:val="auto"/>
                <w:sz w:val="20"/>
                <w:szCs w:val="20"/>
                <w:lang w:val="en-US"/>
              </w:rPr>
              <w:t>PC26 Doc. 34</w:t>
            </w:r>
          </w:p>
          <w:p w14:paraId="6AC5D0D1" w14:textId="4259F81D" w:rsidR="007A638A" w:rsidRPr="003E07DD" w:rsidRDefault="007A638A">
            <w:pPr>
              <w:spacing w:after="0"/>
              <w:ind w:hanging="11"/>
              <w:jc w:val="left"/>
              <w:rPr>
                <w:rFonts w:cs="Arial"/>
                <w:color w:val="auto"/>
                <w:sz w:val="20"/>
                <w:szCs w:val="20"/>
                <w:lang w:val="en-US"/>
              </w:rPr>
            </w:pPr>
            <w:r w:rsidRPr="003E07DD">
              <w:rPr>
                <w:rFonts w:cs="Arial"/>
                <w:color w:val="auto"/>
                <w:sz w:val="20"/>
                <w:szCs w:val="20"/>
                <w:lang w:val="en-US"/>
              </w:rPr>
              <w:t>PC26 SR</w:t>
            </w:r>
          </w:p>
        </w:tc>
      </w:tr>
      <w:tr w:rsidR="003E07DD" w:rsidRPr="003E07DD" w14:paraId="18D9653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1AC28592" w14:textId="77777777" w:rsidR="007A638A" w:rsidRPr="003E07DD" w:rsidRDefault="007A638A">
            <w:pPr>
              <w:spacing w:after="160"/>
              <w:jc w:val="left"/>
              <w:rPr>
                <w:rFonts w:cs="Arial"/>
                <w:color w:val="auto"/>
                <w:sz w:val="20"/>
                <w:szCs w:val="20"/>
                <w:lang w:val="en-GB"/>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38AEF55" w14:textId="7F806943" w:rsidR="007A638A" w:rsidRPr="003E07DD" w:rsidRDefault="00CA4137" w:rsidP="009940CD">
            <w:pPr>
              <w:keepNext/>
              <w:spacing w:after="0"/>
              <w:ind w:left="1032"/>
              <w:jc w:val="left"/>
              <w:rPr>
                <w:rFonts w:cs="Arial"/>
                <w:color w:val="auto"/>
                <w:sz w:val="20"/>
                <w:szCs w:val="20"/>
              </w:rPr>
            </w:pPr>
            <w:r w:rsidRPr="003E07DD">
              <w:rPr>
                <w:rFonts w:cs="Arial"/>
                <w:b/>
                <w:color w:val="auto"/>
                <w:sz w:val="20"/>
                <w:szCs w:val="20"/>
              </w:rPr>
              <w:t>Annexes de la Convention</w:t>
            </w:r>
            <w:r w:rsidR="007A638A" w:rsidRPr="003E07DD">
              <w:rPr>
                <w:rFonts w:cs="Arial"/>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740C59AE" w14:textId="77777777" w:rsidR="007A638A" w:rsidRPr="003E07DD" w:rsidRDefault="007A638A">
            <w:pPr>
              <w:spacing w:after="160"/>
              <w:jc w:val="left"/>
              <w:rPr>
                <w:rFonts w:cs="Arial"/>
                <w:color w:val="auto"/>
                <w:sz w:val="20"/>
                <w:szCs w:val="20"/>
              </w:rPr>
            </w:pPr>
          </w:p>
        </w:tc>
      </w:tr>
      <w:tr w:rsidR="003E07DD" w:rsidRPr="003E07DD" w14:paraId="7811065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70BE1BD"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tcPr>
          <w:p w14:paraId="4DE000CD" w14:textId="49D99CA7" w:rsidR="007A638A" w:rsidRPr="003E07DD" w:rsidRDefault="00CA4137" w:rsidP="00CA4137">
            <w:pPr>
              <w:spacing w:after="0"/>
              <w:ind w:left="637"/>
              <w:jc w:val="center"/>
              <w:rPr>
                <w:rFonts w:cs="Arial"/>
                <w:color w:val="auto"/>
                <w:sz w:val="20"/>
                <w:szCs w:val="20"/>
              </w:rPr>
            </w:pPr>
            <w:r w:rsidRPr="003E07DD">
              <w:rPr>
                <w:rFonts w:cs="Arial"/>
                <w:i/>
                <w:color w:val="auto"/>
                <w:sz w:val="20"/>
                <w:szCs w:val="20"/>
                <w:u w:val="single"/>
              </w:rPr>
              <w:t>Annotations</w:t>
            </w:r>
            <w:r w:rsidR="007A638A" w:rsidRPr="003E07DD">
              <w:rPr>
                <w:rFonts w:cs="Arial"/>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258B9CF4" w14:textId="77777777" w:rsidR="007A638A" w:rsidRPr="003E07DD" w:rsidRDefault="007A638A">
            <w:pPr>
              <w:spacing w:after="160"/>
              <w:jc w:val="left"/>
              <w:rPr>
                <w:rFonts w:cs="Arial"/>
                <w:color w:val="auto"/>
                <w:sz w:val="20"/>
                <w:szCs w:val="20"/>
              </w:rPr>
            </w:pPr>
          </w:p>
        </w:tc>
      </w:tr>
      <w:tr w:rsidR="003E07DD" w:rsidRPr="003E07DD" w14:paraId="21DCA06C"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46206" w14:textId="79FC0A2C" w:rsidR="00A439E1" w:rsidRPr="003E07DD" w:rsidRDefault="00CA4137" w:rsidP="00CA4137">
            <w:pPr>
              <w:spacing w:after="0"/>
              <w:jc w:val="left"/>
              <w:rPr>
                <w:rFonts w:cs="Arial"/>
                <w:color w:val="auto"/>
                <w:sz w:val="20"/>
                <w:szCs w:val="20"/>
              </w:rPr>
            </w:pPr>
            <w:r w:rsidRPr="003E07DD">
              <w:rPr>
                <w:rFonts w:cs="Arial"/>
                <w:color w:val="auto"/>
                <w:sz w:val="20"/>
                <w:szCs w:val="20"/>
              </w:rPr>
              <w:lastRenderedPageBreak/>
              <w:t>18.321 (</w:t>
            </w:r>
            <w:proofErr w:type="spellStart"/>
            <w:r w:rsidRPr="003E07DD">
              <w:rPr>
                <w:rFonts w:cs="Arial"/>
                <w:color w:val="auto"/>
                <w:sz w:val="20"/>
                <w:szCs w:val="20"/>
              </w:rPr>
              <w:t>Rev</w:t>
            </w:r>
            <w:proofErr w:type="spellEnd"/>
            <w:r w:rsidRPr="003E07DD">
              <w:rPr>
                <w:rFonts w:cs="Arial"/>
                <w:color w:val="auto"/>
                <w:sz w:val="20"/>
                <w:szCs w:val="20"/>
              </w:rPr>
              <w:t>. CoP19) à</w:t>
            </w:r>
            <w:r w:rsidR="007A638A" w:rsidRPr="003E07DD">
              <w:rPr>
                <w:rFonts w:cs="Arial"/>
                <w:color w:val="auto"/>
                <w:sz w:val="20"/>
                <w:szCs w:val="20"/>
              </w:rPr>
              <w:t xml:space="preserve"> </w:t>
            </w:r>
          </w:p>
          <w:p w14:paraId="487A1408" w14:textId="4A9C3119" w:rsidR="007A638A" w:rsidRPr="003E07DD" w:rsidRDefault="007A638A">
            <w:pPr>
              <w:spacing w:after="0"/>
              <w:jc w:val="left"/>
              <w:rPr>
                <w:rFonts w:cs="Arial"/>
                <w:color w:val="auto"/>
                <w:sz w:val="20"/>
                <w:szCs w:val="20"/>
              </w:rPr>
            </w:pPr>
            <w:r w:rsidRPr="003E07DD">
              <w:rPr>
                <w:rFonts w:cs="Arial"/>
                <w:color w:val="auto"/>
                <w:sz w:val="20"/>
                <w:szCs w:val="20"/>
              </w:rPr>
              <w:t>18.322 (</w:t>
            </w:r>
            <w:proofErr w:type="spellStart"/>
            <w:r w:rsidRPr="003E07DD">
              <w:rPr>
                <w:rFonts w:cs="Arial"/>
                <w:color w:val="auto"/>
                <w:sz w:val="20"/>
                <w:szCs w:val="20"/>
              </w:rPr>
              <w:t>Rev</w:t>
            </w:r>
            <w:proofErr w:type="spellEnd"/>
            <w:r w:rsidRPr="003E07DD">
              <w:rPr>
                <w:rFonts w:cs="Arial"/>
                <w:color w:val="auto"/>
                <w:sz w:val="20"/>
                <w:szCs w:val="20"/>
              </w:rPr>
              <w:t xml:space="preserve">. CoP19)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4848" w14:textId="62C1F5CF" w:rsidR="007A638A" w:rsidRPr="003E07DD" w:rsidRDefault="00CA4137" w:rsidP="00CA4137">
            <w:pPr>
              <w:spacing w:after="0"/>
              <w:jc w:val="left"/>
              <w:rPr>
                <w:rFonts w:cs="Arial"/>
                <w:color w:val="auto"/>
                <w:sz w:val="20"/>
                <w:szCs w:val="20"/>
              </w:rPr>
            </w:pPr>
            <w:r w:rsidRPr="003E07DD">
              <w:rPr>
                <w:rFonts w:cs="Arial"/>
                <w:color w:val="auto"/>
                <w:sz w:val="20"/>
                <w:szCs w:val="20"/>
              </w:rPr>
              <w:t>Annotation #15</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1B92F"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37 </w:t>
            </w:r>
          </w:p>
          <w:p w14:paraId="49B43832" w14:textId="25374EAB"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56834564" w14:textId="77777777">
        <w:trPr>
          <w:trHeight w:val="468"/>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02F0" w14:textId="7DA961B1" w:rsidR="007A638A" w:rsidRPr="003E07DD" w:rsidRDefault="00CA4137" w:rsidP="00CA4137">
            <w:pPr>
              <w:spacing w:after="0"/>
              <w:rPr>
                <w:rFonts w:cs="Arial"/>
                <w:color w:val="auto"/>
                <w:sz w:val="20"/>
                <w:szCs w:val="20"/>
              </w:rPr>
            </w:pPr>
            <w:r w:rsidRPr="003E07DD">
              <w:rPr>
                <w:rFonts w:cs="Arial"/>
                <w:color w:val="auto"/>
                <w:sz w:val="20"/>
                <w:szCs w:val="20"/>
              </w:rPr>
              <w:t>18.317 (</w:t>
            </w:r>
            <w:proofErr w:type="spellStart"/>
            <w:r w:rsidRPr="003E07DD">
              <w:rPr>
                <w:rFonts w:cs="Arial"/>
                <w:color w:val="auto"/>
                <w:sz w:val="20"/>
                <w:szCs w:val="20"/>
              </w:rPr>
              <w:t>Rev</w:t>
            </w:r>
            <w:proofErr w:type="spellEnd"/>
            <w:r w:rsidRPr="003E07DD">
              <w:rPr>
                <w:rFonts w:cs="Arial"/>
                <w:color w:val="auto"/>
                <w:sz w:val="20"/>
                <w:szCs w:val="20"/>
              </w:rPr>
              <w:t>. CoP19) et 19.265</w:t>
            </w:r>
            <w:r w:rsidR="007A638A" w:rsidRPr="003E07DD">
              <w:rPr>
                <w:rFonts w:cs="Arial"/>
                <w:color w:val="auto"/>
                <w:sz w:val="20"/>
                <w:szCs w:val="20"/>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47167" w14:textId="560CDDC1" w:rsidR="007A638A" w:rsidRPr="003E07DD" w:rsidRDefault="00CA4137" w:rsidP="00CA4137">
            <w:pPr>
              <w:spacing w:after="0"/>
              <w:rPr>
                <w:rFonts w:cs="Arial"/>
                <w:color w:val="auto"/>
                <w:sz w:val="20"/>
                <w:szCs w:val="20"/>
              </w:rPr>
            </w:pPr>
            <w:r w:rsidRPr="003E07DD">
              <w:rPr>
                <w:rFonts w:cs="Arial"/>
                <w:color w:val="auto"/>
                <w:sz w:val="20"/>
                <w:szCs w:val="20"/>
              </w:rPr>
              <w:t>Système d’information pour le commerce de spécimens d’espèces d’arbres inscrites à la CITES</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F7E9C"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38 </w:t>
            </w:r>
          </w:p>
          <w:p w14:paraId="464169C3" w14:textId="31523A33"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3E07DD" w14:paraId="6695BA47"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0509E838" w14:textId="77777777" w:rsidR="007A638A" w:rsidRPr="003E07DD" w:rsidRDefault="007A638A">
            <w:pPr>
              <w:spacing w:after="160"/>
              <w:jc w:val="left"/>
              <w:rPr>
                <w:rFonts w:cs="Arial"/>
                <w:color w:val="auto"/>
                <w:sz w:val="20"/>
                <w:szCs w:val="20"/>
              </w:rPr>
            </w:pPr>
          </w:p>
        </w:tc>
        <w:tc>
          <w:tcPr>
            <w:tcW w:w="4394" w:type="dxa"/>
            <w:tcBorders>
              <w:top w:val="single" w:sz="4" w:space="0" w:color="000000" w:themeColor="text1"/>
              <w:left w:val="nil"/>
              <w:bottom w:val="single" w:sz="4" w:space="0" w:color="000000" w:themeColor="text1"/>
              <w:right w:val="nil"/>
            </w:tcBorders>
          </w:tcPr>
          <w:p w14:paraId="681E6C7B" w14:textId="3F97FEC1" w:rsidR="007A638A" w:rsidRPr="003E07DD" w:rsidRDefault="00CA4137" w:rsidP="00CA4137">
            <w:pPr>
              <w:spacing w:after="0"/>
              <w:ind w:left="1481"/>
              <w:jc w:val="left"/>
              <w:rPr>
                <w:rFonts w:cs="Arial"/>
                <w:color w:val="auto"/>
                <w:sz w:val="20"/>
                <w:szCs w:val="20"/>
              </w:rPr>
            </w:pPr>
            <w:r w:rsidRPr="003E07DD">
              <w:rPr>
                <w:rFonts w:cs="Arial"/>
                <w:i/>
                <w:color w:val="auto"/>
                <w:sz w:val="20"/>
                <w:szCs w:val="20"/>
                <w:u w:val="single"/>
              </w:rPr>
              <w:t>Questions de nomenclature</w:t>
            </w:r>
            <w:r w:rsidR="007A638A" w:rsidRPr="003E07DD">
              <w:rPr>
                <w:rFonts w:cs="Arial"/>
                <w:i/>
                <w:color w:val="auto"/>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7234971A" w14:textId="77777777" w:rsidR="007A638A" w:rsidRPr="003E07DD" w:rsidRDefault="007A638A">
            <w:pPr>
              <w:spacing w:after="160"/>
              <w:jc w:val="left"/>
              <w:rPr>
                <w:rFonts w:cs="Arial"/>
                <w:color w:val="auto"/>
                <w:sz w:val="20"/>
                <w:szCs w:val="20"/>
              </w:rPr>
            </w:pPr>
          </w:p>
        </w:tc>
      </w:tr>
      <w:tr w:rsidR="003E07DD" w:rsidRPr="003E07DD" w14:paraId="699AAE5F"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81D1F" w14:textId="772D122D" w:rsidR="007A638A" w:rsidRPr="003E07DD" w:rsidRDefault="007A638A">
            <w:pPr>
              <w:spacing w:after="0"/>
              <w:ind w:right="70"/>
              <w:rPr>
                <w:rFonts w:cs="Arial"/>
                <w:color w:val="auto"/>
                <w:sz w:val="20"/>
                <w:szCs w:val="20"/>
              </w:rPr>
            </w:pPr>
            <w:r w:rsidRPr="003E07DD">
              <w:rPr>
                <w:rFonts w:cs="Arial"/>
                <w:color w:val="auto"/>
                <w:sz w:val="20"/>
                <w:szCs w:val="20"/>
              </w:rPr>
              <w:t>18.307 (</w:t>
            </w:r>
            <w:proofErr w:type="spellStart"/>
            <w:r w:rsidRPr="003E07DD">
              <w:rPr>
                <w:rFonts w:cs="Arial"/>
                <w:color w:val="auto"/>
                <w:sz w:val="20"/>
                <w:szCs w:val="20"/>
              </w:rPr>
              <w:t>Rev</w:t>
            </w:r>
            <w:proofErr w:type="spellEnd"/>
            <w:r w:rsidRPr="003E07DD">
              <w:rPr>
                <w:rFonts w:cs="Arial"/>
                <w:color w:val="auto"/>
                <w:sz w:val="20"/>
                <w:szCs w:val="20"/>
              </w:rPr>
              <w:t xml:space="preserve">. CoP19) </w:t>
            </w:r>
            <w:r w:rsidR="009940CD" w:rsidRPr="003E07DD">
              <w:rPr>
                <w:rFonts w:cs="Arial"/>
                <w:color w:val="auto"/>
                <w:sz w:val="20"/>
                <w:szCs w:val="20"/>
              </w:rPr>
              <w:t>et</w:t>
            </w:r>
            <w:r w:rsidRPr="003E07DD">
              <w:rPr>
                <w:rFonts w:cs="Arial"/>
                <w:color w:val="auto"/>
                <w:sz w:val="20"/>
                <w:szCs w:val="20"/>
              </w:rPr>
              <w:t xml:space="preserve"> 18.308 (</w:t>
            </w:r>
            <w:proofErr w:type="spellStart"/>
            <w:r w:rsidRPr="003E07DD">
              <w:rPr>
                <w:rFonts w:cs="Arial"/>
                <w:color w:val="auto"/>
                <w:sz w:val="20"/>
                <w:szCs w:val="20"/>
              </w:rPr>
              <w:t>Rev</w:t>
            </w:r>
            <w:proofErr w:type="spellEnd"/>
            <w:r w:rsidRPr="003E07DD">
              <w:rPr>
                <w:rFonts w:cs="Arial"/>
                <w:color w:val="auto"/>
                <w:sz w:val="20"/>
                <w:szCs w:val="20"/>
              </w:rPr>
              <w:t xml:space="preserve">. CoP19)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1F43F" w14:textId="69B4E62B" w:rsidR="007A638A" w:rsidRPr="003E07DD" w:rsidRDefault="00A53033">
            <w:pPr>
              <w:spacing w:after="0"/>
              <w:rPr>
                <w:rFonts w:cs="Arial"/>
                <w:color w:val="auto"/>
                <w:sz w:val="20"/>
                <w:szCs w:val="20"/>
              </w:rPr>
            </w:pPr>
            <w:r w:rsidRPr="003E07DD">
              <w:rPr>
                <w:rFonts w:asciiTheme="minorBidi" w:hAnsiTheme="minorBidi"/>
                <w:color w:val="auto"/>
                <w:sz w:val="20"/>
                <w:szCs w:val="20"/>
              </w:rPr>
              <w:t>Production d’une liste CITES pour les bois de rose (</w:t>
            </w:r>
            <w:r w:rsidRPr="003E07DD">
              <w:rPr>
                <w:rFonts w:asciiTheme="minorBidi" w:hAnsiTheme="minorBidi"/>
                <w:i/>
                <w:color w:val="auto"/>
                <w:sz w:val="20"/>
                <w:szCs w:val="20"/>
              </w:rPr>
              <w:t xml:space="preserve">Dalbergia </w:t>
            </w:r>
            <w:proofErr w:type="spellStart"/>
            <w:r w:rsidRPr="003E07DD">
              <w:rPr>
                <w:rFonts w:asciiTheme="minorBidi" w:hAnsiTheme="minorBidi"/>
                <w:i/>
                <w:color w:val="auto"/>
                <w:sz w:val="20"/>
                <w:szCs w:val="20"/>
              </w:rPr>
              <w:t>spp</w:t>
            </w:r>
            <w:proofErr w:type="spellEnd"/>
            <w:r w:rsidRPr="003E07DD">
              <w:rPr>
                <w:rFonts w:asciiTheme="minorBidi" w:hAnsiTheme="minorBidi"/>
                <w:i/>
                <w:color w:val="auto"/>
                <w:sz w:val="20"/>
                <w:szCs w:val="20"/>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79AFE"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43.1 </w:t>
            </w:r>
          </w:p>
          <w:p w14:paraId="6C0A7E43" w14:textId="7B983D61" w:rsidR="007A638A" w:rsidRPr="003E07DD" w:rsidRDefault="007A638A">
            <w:pPr>
              <w:spacing w:after="0"/>
              <w:jc w:val="left"/>
              <w:rPr>
                <w:rFonts w:cs="Arial"/>
                <w:color w:val="auto"/>
                <w:sz w:val="20"/>
                <w:szCs w:val="20"/>
              </w:rPr>
            </w:pPr>
            <w:r w:rsidRPr="003E07DD">
              <w:rPr>
                <w:rFonts w:cs="Arial"/>
                <w:color w:val="auto"/>
                <w:sz w:val="20"/>
                <w:szCs w:val="20"/>
              </w:rPr>
              <w:t>PC26 SR</w:t>
            </w:r>
          </w:p>
        </w:tc>
      </w:tr>
      <w:tr w:rsidR="003E07DD" w:rsidRPr="00BF6C4F" w14:paraId="4958775F"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07137" w14:textId="4B0E015C" w:rsidR="007A638A" w:rsidRPr="003E07DD" w:rsidRDefault="007A638A">
            <w:pPr>
              <w:spacing w:after="0"/>
              <w:jc w:val="left"/>
              <w:rPr>
                <w:rFonts w:cs="Arial"/>
                <w:color w:val="auto"/>
                <w:sz w:val="20"/>
                <w:szCs w:val="20"/>
              </w:rPr>
            </w:pPr>
            <w:r w:rsidRPr="003E07DD">
              <w:rPr>
                <w:rFonts w:cs="Arial"/>
                <w:color w:val="auto"/>
                <w:sz w:val="20"/>
                <w:szCs w:val="20"/>
              </w:rPr>
              <w:t xml:space="preserve">19.281 </w:t>
            </w:r>
            <w:r w:rsidR="009940CD" w:rsidRPr="003E07DD">
              <w:rPr>
                <w:rFonts w:cs="Arial"/>
                <w:color w:val="auto"/>
                <w:sz w:val="20"/>
                <w:szCs w:val="20"/>
              </w:rPr>
              <w:t xml:space="preserve">et </w:t>
            </w:r>
            <w:r w:rsidRPr="003E07DD">
              <w:rPr>
                <w:rFonts w:cs="Arial"/>
                <w:color w:val="auto"/>
                <w:sz w:val="20"/>
                <w:szCs w:val="20"/>
              </w:rPr>
              <w:t xml:space="preserve">19.282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2ABD" w14:textId="5EACC420" w:rsidR="007A638A" w:rsidRPr="003E07DD" w:rsidRDefault="00B431F1" w:rsidP="00B431F1">
            <w:pPr>
              <w:spacing w:after="0"/>
              <w:rPr>
                <w:rFonts w:cs="Arial"/>
                <w:color w:val="auto"/>
                <w:sz w:val="20"/>
                <w:szCs w:val="20"/>
              </w:rPr>
            </w:pPr>
            <w:r w:rsidRPr="003E07DD">
              <w:rPr>
                <w:rFonts w:cs="Arial"/>
                <w:color w:val="auto"/>
                <w:sz w:val="20"/>
                <w:szCs w:val="20"/>
              </w:rPr>
              <w:t>Nomenclature pour les Ébènes (</w:t>
            </w:r>
            <w:proofErr w:type="spellStart"/>
            <w:r w:rsidRPr="003E07DD">
              <w:rPr>
                <w:rFonts w:cs="Arial"/>
                <w:i/>
                <w:color w:val="auto"/>
                <w:sz w:val="20"/>
                <w:szCs w:val="20"/>
              </w:rPr>
              <w:t>Diospyros</w:t>
            </w:r>
            <w:proofErr w:type="spellEnd"/>
            <w:r w:rsidRPr="003E07DD">
              <w:rPr>
                <w:rFonts w:cs="Arial"/>
                <w:i/>
                <w:color w:val="auto"/>
                <w:sz w:val="20"/>
                <w:szCs w:val="20"/>
              </w:rPr>
              <w:t xml:space="preserve"> </w:t>
            </w:r>
            <w:proofErr w:type="spellStart"/>
            <w:r w:rsidRPr="003E07DD">
              <w:rPr>
                <w:rFonts w:cs="Arial"/>
                <w:color w:val="auto"/>
                <w:sz w:val="20"/>
                <w:szCs w:val="20"/>
              </w:rPr>
              <w:t>spp</w:t>
            </w:r>
            <w:proofErr w:type="spellEnd"/>
            <w:r w:rsidRPr="003E07DD">
              <w:rPr>
                <w:rFonts w:cs="Arial"/>
                <w:color w:val="auto"/>
                <w:sz w:val="20"/>
                <w:szCs w:val="20"/>
              </w:rPr>
              <w:t>.)</w:t>
            </w:r>
            <w:r w:rsidR="006C225F" w:rsidRPr="003E07DD">
              <w:rPr>
                <w:rFonts w:cs="Arial"/>
                <w:color w:val="auto"/>
                <w:sz w:val="20"/>
                <w:szCs w:val="20"/>
              </w:rPr>
              <w:t xml:space="preserve"> </w:t>
            </w:r>
            <w:r w:rsidRPr="003E07DD">
              <w:rPr>
                <w:rFonts w:cs="Arial"/>
                <w:color w:val="auto"/>
                <w:sz w:val="20"/>
                <w:szCs w:val="20"/>
              </w:rPr>
              <w:t>(</w:t>
            </w:r>
            <w:proofErr w:type="gramStart"/>
            <w:r w:rsidRPr="003E07DD">
              <w:rPr>
                <w:rFonts w:cs="Arial"/>
                <w:color w:val="auto"/>
                <w:sz w:val="20"/>
                <w:szCs w:val="20"/>
              </w:rPr>
              <w:t>populations</w:t>
            </w:r>
            <w:proofErr w:type="gramEnd"/>
            <w:r w:rsidRPr="003E07DD">
              <w:rPr>
                <w:rFonts w:cs="Arial"/>
                <w:color w:val="auto"/>
                <w:sz w:val="20"/>
                <w:szCs w:val="20"/>
              </w:rPr>
              <w:t xml:space="preserve"> de Madagascar)</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81AD" w14:textId="77777777" w:rsidR="00A439E1" w:rsidRPr="003E07DD" w:rsidRDefault="007A638A">
            <w:pPr>
              <w:spacing w:after="0"/>
              <w:jc w:val="left"/>
              <w:rPr>
                <w:rFonts w:cs="Arial"/>
                <w:color w:val="auto"/>
                <w:sz w:val="20"/>
                <w:szCs w:val="20"/>
                <w:lang w:val="de-CH"/>
              </w:rPr>
            </w:pPr>
            <w:r w:rsidRPr="003E07DD">
              <w:rPr>
                <w:rFonts w:cs="Arial"/>
                <w:color w:val="auto"/>
                <w:sz w:val="20"/>
                <w:szCs w:val="20"/>
                <w:lang w:val="de-CH"/>
              </w:rPr>
              <w:t xml:space="preserve">PC26 Doc. Doc. 43.4 </w:t>
            </w:r>
          </w:p>
          <w:p w14:paraId="3552ECF0" w14:textId="114DC447" w:rsidR="007A638A" w:rsidRPr="003E07DD" w:rsidRDefault="007A638A">
            <w:pPr>
              <w:spacing w:after="0"/>
              <w:jc w:val="left"/>
              <w:rPr>
                <w:rFonts w:cs="Arial"/>
                <w:color w:val="auto"/>
                <w:sz w:val="20"/>
                <w:szCs w:val="20"/>
                <w:lang w:val="de-CH"/>
              </w:rPr>
            </w:pPr>
            <w:r w:rsidRPr="003E07DD">
              <w:rPr>
                <w:rFonts w:cs="Arial"/>
                <w:color w:val="auto"/>
                <w:sz w:val="20"/>
                <w:szCs w:val="20"/>
                <w:lang w:val="de-CH"/>
              </w:rPr>
              <w:t>PC26 SR</w:t>
            </w:r>
          </w:p>
        </w:tc>
      </w:tr>
      <w:tr w:rsidR="003E07DD" w:rsidRPr="003E07DD" w14:paraId="32382086"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5C97" w14:textId="257D5801" w:rsidR="007A638A" w:rsidRPr="003E07DD" w:rsidRDefault="007A638A">
            <w:pPr>
              <w:spacing w:after="0"/>
              <w:jc w:val="left"/>
              <w:rPr>
                <w:rFonts w:cs="Arial"/>
                <w:color w:val="auto"/>
                <w:sz w:val="20"/>
                <w:szCs w:val="20"/>
              </w:rPr>
            </w:pPr>
            <w:r w:rsidRPr="003E07DD">
              <w:rPr>
                <w:rFonts w:cs="Arial"/>
                <w:color w:val="auto"/>
                <w:sz w:val="20"/>
                <w:szCs w:val="20"/>
              </w:rPr>
              <w:t xml:space="preserve">19.290 </w:t>
            </w:r>
            <w:r w:rsidR="009940CD" w:rsidRPr="003E07DD">
              <w:rPr>
                <w:rFonts w:cs="Arial"/>
                <w:color w:val="auto"/>
                <w:sz w:val="20"/>
                <w:szCs w:val="20"/>
              </w:rPr>
              <w:t>et</w:t>
            </w:r>
            <w:r w:rsidRPr="003E07DD">
              <w:rPr>
                <w:rFonts w:cs="Arial"/>
                <w:color w:val="auto"/>
                <w:sz w:val="20"/>
                <w:szCs w:val="20"/>
              </w:rPr>
              <w:t xml:space="preserve"> 19.291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E7F8" w14:textId="3409826A" w:rsidR="007A638A" w:rsidRPr="003E07DD" w:rsidRDefault="00B431F1" w:rsidP="00B431F1">
            <w:pPr>
              <w:spacing w:after="0"/>
              <w:jc w:val="left"/>
              <w:rPr>
                <w:rFonts w:cs="Arial"/>
                <w:color w:val="auto"/>
                <w:sz w:val="20"/>
                <w:szCs w:val="20"/>
              </w:rPr>
            </w:pPr>
            <w:r w:rsidRPr="003E07DD">
              <w:rPr>
                <w:rFonts w:cs="Arial"/>
                <w:color w:val="auto"/>
                <w:sz w:val="20"/>
                <w:szCs w:val="20"/>
              </w:rPr>
              <w:t>Nomenclature pour les ifs (</w:t>
            </w:r>
            <w:r w:rsidRPr="003E07DD">
              <w:rPr>
                <w:rFonts w:cs="Arial"/>
                <w:i/>
                <w:color w:val="auto"/>
                <w:sz w:val="20"/>
                <w:szCs w:val="20"/>
              </w:rPr>
              <w:t>Taxus</w:t>
            </w:r>
            <w:r w:rsidRPr="003E07DD">
              <w:rPr>
                <w:rFonts w:cs="Arial"/>
                <w:color w:val="auto"/>
                <w:sz w:val="20"/>
                <w:szCs w:val="20"/>
              </w:rPr>
              <w:t xml:space="preserve"> </w:t>
            </w:r>
            <w:proofErr w:type="spellStart"/>
            <w:r w:rsidRPr="003E07DD">
              <w:rPr>
                <w:rFonts w:cs="Arial"/>
                <w:color w:val="auto"/>
                <w:sz w:val="20"/>
                <w:szCs w:val="20"/>
              </w:rPr>
              <w:t>spp</w:t>
            </w:r>
            <w:proofErr w:type="spellEnd"/>
            <w:r w:rsidRPr="003E07DD">
              <w:rPr>
                <w:rFonts w:cs="Arial"/>
                <w:color w:val="auto"/>
                <w:sz w:val="20"/>
                <w:szCs w:val="20"/>
              </w:rPr>
              <w:t>.)</w:t>
            </w:r>
            <w:r w:rsidR="007A638A" w:rsidRPr="003E07DD">
              <w:rPr>
                <w:rFonts w:cs="Arial"/>
                <w:color w:val="auto"/>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E995" w14:textId="77777777" w:rsidR="00A439E1" w:rsidRPr="003E07DD" w:rsidRDefault="007A638A">
            <w:pPr>
              <w:spacing w:after="0"/>
              <w:jc w:val="left"/>
              <w:rPr>
                <w:rFonts w:cs="Arial"/>
                <w:color w:val="auto"/>
                <w:sz w:val="20"/>
                <w:szCs w:val="20"/>
              </w:rPr>
            </w:pPr>
            <w:r w:rsidRPr="003E07DD">
              <w:rPr>
                <w:rFonts w:cs="Arial"/>
                <w:color w:val="auto"/>
                <w:sz w:val="20"/>
                <w:szCs w:val="20"/>
              </w:rPr>
              <w:t xml:space="preserve">PC26 Doc. 43.9 </w:t>
            </w:r>
          </w:p>
          <w:p w14:paraId="732A20C5" w14:textId="07E581BD" w:rsidR="007A638A" w:rsidRPr="003E07DD" w:rsidRDefault="007A638A">
            <w:pPr>
              <w:spacing w:after="0"/>
              <w:jc w:val="left"/>
              <w:rPr>
                <w:rFonts w:cs="Arial"/>
                <w:color w:val="auto"/>
                <w:sz w:val="20"/>
                <w:szCs w:val="20"/>
              </w:rPr>
            </w:pPr>
            <w:r w:rsidRPr="003E07DD">
              <w:rPr>
                <w:rFonts w:cs="Arial"/>
                <w:color w:val="auto"/>
                <w:sz w:val="20"/>
                <w:szCs w:val="20"/>
              </w:rPr>
              <w:t>PC26 SR</w:t>
            </w:r>
          </w:p>
        </w:tc>
      </w:tr>
    </w:tbl>
    <w:p w14:paraId="2E6A0CE1" w14:textId="77777777" w:rsidR="00A439E1" w:rsidRDefault="007A638A" w:rsidP="007A638A">
      <w:pPr>
        <w:spacing w:after="0"/>
        <w:ind w:left="2"/>
        <w:jc w:val="left"/>
        <w:rPr>
          <w:rFonts w:cs="Arial"/>
        </w:rPr>
      </w:pPr>
      <w:r w:rsidRPr="005D2DAF">
        <w:rPr>
          <w:rFonts w:cs="Arial"/>
        </w:rPr>
        <w:tab/>
        <w:t xml:space="preserve"> </w:t>
      </w:r>
    </w:p>
    <w:p w14:paraId="61739AF4" w14:textId="7267FD73" w:rsidR="00A439E1" w:rsidRPr="003E07DD" w:rsidRDefault="00B431F1" w:rsidP="00B431F1">
      <w:pPr>
        <w:keepNext/>
        <w:spacing w:after="230"/>
        <w:rPr>
          <w:rFonts w:cs="Arial"/>
          <w:color w:val="auto"/>
          <w:lang w:val="fr-CH"/>
        </w:rPr>
      </w:pPr>
      <w:r w:rsidRPr="003E07DD">
        <w:rPr>
          <w:rFonts w:cs="Arial"/>
          <w:color w:val="auto"/>
          <w:u w:val="single"/>
          <w:lang w:val="fr-CH"/>
        </w:rPr>
        <w:t>Section 3 : Exemples de processus transversaux de la Convention qui contribuent aux mandats mondiaux concernant les forêts et aux politiques et initiatives forestières dans le cadre d’une approche programmatique sur la CITES et les forêts, et liste des projets pour l’intersession entre la CoP19 (2022) et la CoP20 (2025).</w:t>
      </w:r>
    </w:p>
    <w:p w14:paraId="2DCE068A" w14:textId="108A7400" w:rsidR="00A439E1" w:rsidRPr="003E07DD" w:rsidRDefault="00B431F1" w:rsidP="00B431F1">
      <w:pPr>
        <w:ind w:left="-3" w:right="41"/>
        <w:rPr>
          <w:rFonts w:cs="Arial"/>
          <w:color w:val="auto"/>
          <w:lang w:val="fr-CH"/>
        </w:rPr>
      </w:pPr>
      <w:r w:rsidRPr="003E07DD">
        <w:rPr>
          <w:rFonts w:cs="Arial"/>
          <w:color w:val="auto"/>
          <w:lang w:val="fr-CH"/>
        </w:rPr>
        <w:t>Cette section du compendium est axée sur une sélection de projets pour les espèces d’arbres qui ont un lien avec la mise en œuvre des dispositions et processus transversaux de la Convention.</w:t>
      </w:r>
      <w:r w:rsidR="007A638A" w:rsidRPr="003E07DD">
        <w:rPr>
          <w:rFonts w:cs="Arial"/>
          <w:color w:val="auto"/>
          <w:lang w:val="fr-CH"/>
        </w:rPr>
        <w:t xml:space="preserve">  </w:t>
      </w:r>
    </w:p>
    <w:p w14:paraId="3DB00894" w14:textId="1D4365B9" w:rsidR="00A439E1" w:rsidRPr="003E07DD" w:rsidRDefault="00E60D21" w:rsidP="00E60D21">
      <w:pPr>
        <w:ind w:left="383" w:right="41" w:hanging="396"/>
        <w:rPr>
          <w:rFonts w:cs="Arial"/>
          <w:color w:val="auto"/>
          <w:lang w:val="en-US"/>
        </w:rPr>
      </w:pPr>
      <w:r w:rsidRPr="003E07DD">
        <w:rPr>
          <w:rFonts w:cs="Arial"/>
          <w:color w:val="auto"/>
          <w:lang w:val="fr-CH"/>
        </w:rPr>
        <w:t xml:space="preserve">3.1. Article XIII et résolutions </w:t>
      </w:r>
      <w:proofErr w:type="spellStart"/>
      <w:r w:rsidRPr="003E07DD">
        <w:rPr>
          <w:rFonts w:cs="Arial"/>
          <w:color w:val="auto"/>
          <w:lang w:val="fr-CH"/>
        </w:rPr>
        <w:t>Res</w:t>
      </w:r>
      <w:proofErr w:type="spellEnd"/>
      <w:r w:rsidRPr="003E07DD">
        <w:rPr>
          <w:rFonts w:cs="Arial"/>
          <w:color w:val="auto"/>
          <w:lang w:val="fr-CH"/>
        </w:rPr>
        <w:t xml:space="preserve">. Conf. 14.3, </w:t>
      </w:r>
      <w:r w:rsidRPr="003E07DD">
        <w:rPr>
          <w:rFonts w:cs="Arial"/>
          <w:i/>
          <w:color w:val="auto"/>
          <w:lang w:val="fr-CH"/>
        </w:rPr>
        <w:t>Procédures CITES pour le respect de la Convention</w:t>
      </w:r>
      <w:r w:rsidRPr="003E07DD">
        <w:rPr>
          <w:rFonts w:cs="Arial"/>
          <w:color w:val="auto"/>
          <w:lang w:val="fr-CH"/>
        </w:rPr>
        <w:t xml:space="preserve">, et </w:t>
      </w:r>
      <w:proofErr w:type="spellStart"/>
      <w:r w:rsidRPr="003E07DD">
        <w:rPr>
          <w:rFonts w:cs="Arial"/>
          <w:color w:val="auto"/>
          <w:lang w:val="fr-CH"/>
        </w:rPr>
        <w:t>Res</w:t>
      </w:r>
      <w:proofErr w:type="spellEnd"/>
      <w:r w:rsidRPr="003E07DD">
        <w:rPr>
          <w:rFonts w:cs="Arial"/>
          <w:color w:val="auto"/>
          <w:lang w:val="fr-CH"/>
        </w:rPr>
        <w:t>.</w:t>
      </w:r>
      <w:r w:rsidR="00C61822" w:rsidRPr="003E07DD">
        <w:rPr>
          <w:rFonts w:cs="Arial"/>
          <w:color w:val="auto"/>
          <w:lang w:val="fr-CH"/>
        </w:rPr>
        <w:t> </w:t>
      </w:r>
      <w:r w:rsidRPr="003E07DD">
        <w:rPr>
          <w:rFonts w:cs="Arial"/>
          <w:color w:val="auto"/>
          <w:lang w:val="fr-CH"/>
        </w:rPr>
        <w:t>Conf.</w:t>
      </w:r>
      <w:r w:rsidR="00C61822" w:rsidRPr="003E07DD">
        <w:rPr>
          <w:rFonts w:cs="Arial"/>
          <w:color w:val="auto"/>
          <w:lang w:val="fr-CH"/>
        </w:rPr>
        <w:t> </w:t>
      </w:r>
      <w:r w:rsidRPr="003E07DD">
        <w:rPr>
          <w:rFonts w:cs="Arial"/>
          <w:color w:val="auto"/>
          <w:lang w:val="fr-CH"/>
        </w:rPr>
        <w:t>18.7 (</w:t>
      </w:r>
      <w:proofErr w:type="spellStart"/>
      <w:r w:rsidRPr="003E07DD">
        <w:rPr>
          <w:rFonts w:cs="Arial"/>
          <w:color w:val="auto"/>
          <w:lang w:val="fr-CH"/>
        </w:rPr>
        <w:t>Rev</w:t>
      </w:r>
      <w:proofErr w:type="spellEnd"/>
      <w:r w:rsidRPr="003E07DD">
        <w:rPr>
          <w:rFonts w:cs="Arial"/>
          <w:color w:val="auto"/>
          <w:lang w:val="fr-CH"/>
        </w:rPr>
        <w:t xml:space="preserve">. CoP19), </w:t>
      </w:r>
      <w:r w:rsidRPr="003E07DD">
        <w:rPr>
          <w:rFonts w:cs="Arial"/>
          <w:i/>
          <w:color w:val="auto"/>
          <w:lang w:val="fr-CH"/>
        </w:rPr>
        <w:t>Avis d’acquisition légale</w:t>
      </w:r>
      <w:r w:rsidR="007A638A" w:rsidRPr="003E07DD">
        <w:rPr>
          <w:rFonts w:cs="Arial"/>
          <w:color w:val="auto"/>
          <w:lang w:val="en-US"/>
        </w:rPr>
        <w:t xml:space="preserve"> </w:t>
      </w:r>
    </w:p>
    <w:p w14:paraId="144A9634" w14:textId="77777777" w:rsidR="00E82B19" w:rsidRPr="00C7475A" w:rsidRDefault="00E82B19" w:rsidP="00E82B19">
      <w:pPr>
        <w:numPr>
          <w:ilvl w:val="0"/>
          <w:numId w:val="18"/>
        </w:numPr>
        <w:tabs>
          <w:tab w:val="clear" w:pos="397"/>
          <w:tab w:val="clear" w:pos="794"/>
          <w:tab w:val="clear" w:pos="1191"/>
          <w:tab w:val="clear" w:pos="1588"/>
          <w:tab w:val="clear" w:pos="1985"/>
        </w:tabs>
        <w:spacing w:after="233" w:line="250" w:lineRule="auto"/>
        <w:ind w:right="41" w:hanging="360"/>
        <w:rPr>
          <w:lang w:val="fr-CH"/>
        </w:rPr>
      </w:pPr>
      <w:r w:rsidRPr="003E07DD">
        <w:rPr>
          <w:color w:val="auto"/>
          <w:lang w:val="fr-CH"/>
        </w:rPr>
        <w:t xml:space="preserve">Soutien à la mise en œuvre des recommandations applicables pour les </w:t>
      </w:r>
      <w:r w:rsidRPr="003E07DD">
        <w:rPr>
          <w:i/>
          <w:iCs/>
          <w:color w:val="auto"/>
          <w:lang w:val="fr-CH"/>
        </w:rPr>
        <w:t xml:space="preserve">Pterocarpus </w:t>
      </w:r>
      <w:proofErr w:type="spellStart"/>
      <w:r w:rsidRPr="003E07DD">
        <w:rPr>
          <w:i/>
          <w:iCs/>
          <w:color w:val="auto"/>
          <w:lang w:val="fr-CH"/>
        </w:rPr>
        <w:t>erinaceus</w:t>
      </w:r>
      <w:proofErr w:type="spellEnd"/>
      <w:r w:rsidRPr="003E07DD">
        <w:rPr>
          <w:color w:val="auto"/>
          <w:lang w:val="fr-CH"/>
        </w:rPr>
        <w:t>/États de l’aire de répartition soumis à une recommandation de suspension des transactions commerciales en respect et application de la Convention (Article XIII) (voir auss</w:t>
      </w:r>
      <w:hyperlink r:id="rId14">
        <w:r w:rsidRPr="00652B7D">
          <w:rPr>
            <w:rStyle w:val="Hyperlink"/>
            <w:rFonts w:cs="Arial"/>
            <w:lang w:val="fr-CH"/>
          </w:rPr>
          <w:t xml:space="preserve">i </w:t>
        </w:r>
      </w:hyperlink>
      <w:hyperlink r:id="rId15">
        <w:r w:rsidRPr="00652B7D">
          <w:rPr>
            <w:rStyle w:val="Hyperlink"/>
            <w:rFonts w:cs="Arial"/>
            <w:lang w:val="fr-CH"/>
          </w:rPr>
          <w:t>https://cites.org/fra/resources/ref/suspend.php</w:t>
        </w:r>
      </w:hyperlink>
      <w:hyperlink r:id="rId16">
        <w:r w:rsidRPr="003E07DD">
          <w:rPr>
            <w:rStyle w:val="Hyperlink"/>
            <w:rFonts w:cs="Arial"/>
            <w:color w:val="auto"/>
            <w:lang w:val="fr-CH"/>
          </w:rPr>
          <w:t>).</w:t>
        </w:r>
      </w:hyperlink>
      <w:r w:rsidRPr="003E07DD">
        <w:rPr>
          <w:color w:val="auto"/>
          <w:lang w:val="fr-CH"/>
        </w:rPr>
        <w:t xml:space="preserve">Pour ce faire, des études de cas pourraient être rédigées sur les avis d’acquisition légale en ce qui concerne les </w:t>
      </w:r>
      <w:r w:rsidRPr="003E07DD">
        <w:rPr>
          <w:i/>
          <w:color w:val="auto"/>
          <w:lang w:val="fr-CH"/>
        </w:rPr>
        <w:t xml:space="preserve">P. </w:t>
      </w:r>
      <w:proofErr w:type="spellStart"/>
      <w:r w:rsidRPr="003E07DD">
        <w:rPr>
          <w:i/>
          <w:color w:val="auto"/>
          <w:lang w:val="fr-CH"/>
        </w:rPr>
        <w:t>erinaceus</w:t>
      </w:r>
      <w:proofErr w:type="spellEnd"/>
      <w:r w:rsidRPr="003E07DD">
        <w:rPr>
          <w:color w:val="auto"/>
          <w:lang w:val="fr-CH"/>
        </w:rPr>
        <w:t xml:space="preserve"> pour les États de l’aire de répartition qui font l’objet de recommandations de respect de la Convention au titre de la procédure de l’Article XIII (voir</w:t>
      </w:r>
      <w:r w:rsidRPr="00C7475A">
        <w:rPr>
          <w:color w:val="800080"/>
          <w:lang w:val="fr-CH"/>
        </w:rPr>
        <w:t xml:space="preserve"> </w:t>
      </w:r>
      <w:hyperlink r:id="rId17">
        <w:r w:rsidRPr="00C7475A">
          <w:rPr>
            <w:rStyle w:val="Hyperlink"/>
            <w:rFonts w:cs="Arial"/>
            <w:lang w:val="fr-CH"/>
          </w:rPr>
          <w:t>Notification aux Parties N° 2022/045</w:t>
        </w:r>
      </w:hyperlink>
      <w:hyperlink r:id="rId18">
        <w:r w:rsidRPr="00C7475A">
          <w:rPr>
            <w:rStyle w:val="Hyperlink"/>
            <w:rFonts w:cs="Arial"/>
            <w:lang w:val="fr-CH"/>
          </w:rPr>
          <w:t>).</w:t>
        </w:r>
      </w:hyperlink>
    </w:p>
    <w:p w14:paraId="0C70F567" w14:textId="77777777" w:rsidR="00E82B19" w:rsidRPr="00C7475A" w:rsidRDefault="00E82B19" w:rsidP="00E82B19">
      <w:pPr>
        <w:numPr>
          <w:ilvl w:val="0"/>
          <w:numId w:val="18"/>
        </w:numPr>
        <w:tabs>
          <w:tab w:val="clear" w:pos="397"/>
          <w:tab w:val="clear" w:pos="794"/>
          <w:tab w:val="clear" w:pos="1191"/>
          <w:tab w:val="clear" w:pos="1588"/>
          <w:tab w:val="clear" w:pos="1985"/>
        </w:tabs>
        <w:spacing w:after="233" w:line="250" w:lineRule="auto"/>
        <w:ind w:right="41" w:hanging="360"/>
        <w:rPr>
          <w:lang w:val="fr-CH"/>
        </w:rPr>
      </w:pPr>
      <w:r w:rsidRPr="003E07DD">
        <w:rPr>
          <w:color w:val="auto"/>
          <w:lang w:val="fr-CH"/>
        </w:rPr>
        <w:t xml:space="preserve"> Soutien à la mise en œuvre des recommandations applicables pour les </w:t>
      </w:r>
      <w:r w:rsidRPr="003E07DD">
        <w:rPr>
          <w:i/>
          <w:color w:val="auto"/>
          <w:lang w:val="fr-CH"/>
        </w:rPr>
        <w:t xml:space="preserve">Dalbergia </w:t>
      </w:r>
      <w:proofErr w:type="spellStart"/>
      <w:r w:rsidRPr="003E07DD">
        <w:rPr>
          <w:color w:val="auto"/>
          <w:lang w:val="fr-CH"/>
        </w:rPr>
        <w:t>spp</w:t>
      </w:r>
      <w:proofErr w:type="spellEnd"/>
      <w:r w:rsidRPr="003E07DD">
        <w:rPr>
          <w:color w:val="auto"/>
          <w:lang w:val="fr-CH"/>
        </w:rPr>
        <w:t xml:space="preserve">. en République démocratique populaire lao, dans le cadre du suivi des résultats du </w:t>
      </w:r>
      <w:hyperlink r:id="rId19">
        <w:r w:rsidRPr="00C7475A">
          <w:rPr>
            <w:rStyle w:val="Hyperlink"/>
            <w:rFonts w:cs="Arial"/>
            <w:lang w:val="fr-CH"/>
          </w:rPr>
          <w:t>Projet CITES-FAO sur l</w:t>
        </w:r>
        <w:r>
          <w:rPr>
            <w:rStyle w:val="Hyperlink"/>
            <w:rFonts w:cs="Arial"/>
            <w:lang w:val="fr-CH"/>
          </w:rPr>
          <w:t>’</w:t>
        </w:r>
        <w:r w:rsidRPr="00C7475A">
          <w:rPr>
            <w:rStyle w:val="Hyperlink"/>
            <w:rFonts w:cs="Arial"/>
            <w:lang w:val="fr-CH"/>
          </w:rPr>
          <w:t>amélioration de la gouvernance forestière dans la région du Bas Mékong (LMR)</w:t>
        </w:r>
      </w:hyperlink>
      <w:hyperlink r:id="rId20">
        <w:r w:rsidRPr="00C7475A">
          <w:rPr>
            <w:rStyle w:val="Hyperlink"/>
            <w:rFonts w:cs="Arial"/>
            <w:lang w:val="fr-CH"/>
          </w:rPr>
          <w:t>.</w:t>
        </w:r>
      </w:hyperlink>
    </w:p>
    <w:p w14:paraId="560F6F5E" w14:textId="7CB6CFF6" w:rsidR="00A439E1" w:rsidRPr="003E07DD" w:rsidRDefault="00AC3CF9" w:rsidP="00AC3CF9">
      <w:pPr>
        <w:ind w:left="383" w:right="41" w:hanging="396"/>
        <w:rPr>
          <w:rFonts w:cs="Arial"/>
          <w:color w:val="auto"/>
          <w:lang w:val="fr-CH"/>
        </w:rPr>
      </w:pPr>
      <w:r w:rsidRPr="003E07DD">
        <w:rPr>
          <w:rFonts w:cs="Arial"/>
          <w:color w:val="auto"/>
          <w:lang w:val="fr-CH"/>
        </w:rPr>
        <w:t>3.2. Article IV et Résolution Conf. 12.11 (</w:t>
      </w:r>
      <w:proofErr w:type="spellStart"/>
      <w:r w:rsidRPr="003E07DD">
        <w:rPr>
          <w:rFonts w:cs="Arial"/>
          <w:color w:val="auto"/>
          <w:lang w:val="fr-CH"/>
        </w:rPr>
        <w:t>Rev</w:t>
      </w:r>
      <w:proofErr w:type="spellEnd"/>
      <w:r w:rsidRPr="003E07DD">
        <w:rPr>
          <w:rFonts w:cs="Arial"/>
          <w:color w:val="auto"/>
          <w:lang w:val="fr-CH"/>
        </w:rPr>
        <w:t xml:space="preserve">. CoP18), </w:t>
      </w:r>
      <w:r w:rsidRPr="003E07DD">
        <w:rPr>
          <w:rFonts w:cs="Arial"/>
          <w:i/>
          <w:color w:val="auto"/>
          <w:lang w:val="fr-CH"/>
        </w:rPr>
        <w:t>Étude du commerce important de spécimens d’espèces inscrites à l’Annexe II</w:t>
      </w:r>
      <w:r w:rsidRPr="003E07DD">
        <w:rPr>
          <w:rFonts w:cs="Arial"/>
          <w:color w:val="auto"/>
          <w:lang w:val="fr-CH"/>
        </w:rPr>
        <w:t xml:space="preserve"> (ECI)</w:t>
      </w:r>
      <w:r w:rsidR="007A638A" w:rsidRPr="003E07DD">
        <w:rPr>
          <w:rFonts w:cs="Arial"/>
          <w:color w:val="auto"/>
          <w:lang w:val="fr-CH"/>
        </w:rPr>
        <w:t xml:space="preserve"> </w:t>
      </w:r>
    </w:p>
    <w:p w14:paraId="49A99F30" w14:textId="04964928" w:rsidR="00A439E1" w:rsidRPr="003E07DD" w:rsidRDefault="00AC3CF9" w:rsidP="00AC3CF9">
      <w:pPr>
        <w:numPr>
          <w:ilvl w:val="0"/>
          <w:numId w:val="19"/>
        </w:numPr>
        <w:tabs>
          <w:tab w:val="clear" w:pos="397"/>
          <w:tab w:val="clear" w:pos="794"/>
          <w:tab w:val="clear" w:pos="1191"/>
          <w:tab w:val="clear" w:pos="1588"/>
          <w:tab w:val="clear" w:pos="1985"/>
        </w:tabs>
        <w:spacing w:after="233"/>
        <w:ind w:right="41" w:hanging="398"/>
        <w:rPr>
          <w:rFonts w:cs="Arial"/>
          <w:color w:val="auto"/>
          <w:lang w:val="fr-CH"/>
        </w:rPr>
      </w:pPr>
      <w:r w:rsidRPr="003E07DD">
        <w:rPr>
          <w:rFonts w:cs="Arial"/>
          <w:color w:val="auto"/>
          <w:lang w:val="fr-CH"/>
        </w:rPr>
        <w:t>Soutien à la mise en œuvre des recommandations d’ECI en suspens pour une sélection de cas actuels en ce qui concerne les combinaisons d’espèces d’arbres/pays (voir le document PC26 Doc. 16.2)</w:t>
      </w:r>
      <w:r w:rsidR="007A638A" w:rsidRPr="003E07DD">
        <w:rPr>
          <w:rFonts w:cs="Arial"/>
          <w:color w:val="auto"/>
          <w:lang w:val="fr-CH"/>
        </w:rPr>
        <w:t xml:space="preserve"> </w:t>
      </w:r>
    </w:p>
    <w:p w14:paraId="78371417" w14:textId="3DF777FC" w:rsidR="00A439E1" w:rsidRPr="003E07DD" w:rsidRDefault="00AC3CF9" w:rsidP="00AC3CF9">
      <w:pPr>
        <w:numPr>
          <w:ilvl w:val="0"/>
          <w:numId w:val="19"/>
        </w:numPr>
        <w:tabs>
          <w:tab w:val="clear" w:pos="397"/>
          <w:tab w:val="clear" w:pos="794"/>
          <w:tab w:val="clear" w:pos="1191"/>
          <w:tab w:val="clear" w:pos="1588"/>
          <w:tab w:val="clear" w:pos="1985"/>
        </w:tabs>
        <w:ind w:left="397" w:right="40" w:hanging="397"/>
        <w:rPr>
          <w:rFonts w:cs="Arial"/>
          <w:color w:val="auto"/>
          <w:lang w:val="fr-CH"/>
        </w:rPr>
      </w:pPr>
      <w:r w:rsidRPr="003E07DD">
        <w:rPr>
          <w:rFonts w:cs="Arial"/>
          <w:color w:val="auto"/>
          <w:lang w:val="fr-CH"/>
        </w:rPr>
        <w:t xml:space="preserve">Soutien à la mise en œuvre des recommandations relatives aux combinaisons </w:t>
      </w:r>
      <w:r w:rsidRPr="003E07DD">
        <w:rPr>
          <w:rFonts w:cs="Arial"/>
          <w:i/>
          <w:color w:val="auto"/>
          <w:lang w:val="fr-CH"/>
        </w:rPr>
        <w:t xml:space="preserve">Pterocarpus </w:t>
      </w:r>
      <w:proofErr w:type="spellStart"/>
      <w:r w:rsidRPr="003E07DD">
        <w:rPr>
          <w:rFonts w:cs="Arial"/>
          <w:i/>
          <w:color w:val="auto"/>
          <w:lang w:val="fr-CH"/>
        </w:rPr>
        <w:t>erinaceu</w:t>
      </w:r>
      <w:r w:rsidRPr="003E07DD">
        <w:rPr>
          <w:rFonts w:cs="Arial"/>
          <w:color w:val="auto"/>
          <w:lang w:val="fr-CH"/>
        </w:rPr>
        <w:t>s</w:t>
      </w:r>
      <w:proofErr w:type="spellEnd"/>
      <w:r w:rsidRPr="003E07DD">
        <w:rPr>
          <w:rFonts w:cs="Arial"/>
          <w:color w:val="auto"/>
          <w:lang w:val="fr-CH"/>
        </w:rPr>
        <w:t>/pays sélectionnées en tant que cas exceptionnels en phase 2 du processus d’ECI (voir aussi le document PC26 Doc. 16.4).</w:t>
      </w:r>
      <w:r w:rsidR="007A638A" w:rsidRPr="003E07DD">
        <w:rPr>
          <w:rFonts w:cs="Arial"/>
          <w:color w:val="auto"/>
          <w:lang w:val="fr-CH"/>
        </w:rPr>
        <w:t xml:space="preserve">  </w:t>
      </w:r>
    </w:p>
    <w:p w14:paraId="7399549A" w14:textId="08AF4A86" w:rsidR="00A439E1" w:rsidRPr="003E07DD" w:rsidRDefault="00AC3CF9" w:rsidP="00AC3CF9">
      <w:pPr>
        <w:ind w:left="-3" w:right="41"/>
        <w:rPr>
          <w:rFonts w:cs="Arial"/>
          <w:color w:val="auto"/>
          <w:lang w:val="fr-CH"/>
        </w:rPr>
      </w:pPr>
      <w:r w:rsidRPr="003E07DD">
        <w:rPr>
          <w:rFonts w:cs="Arial"/>
          <w:color w:val="auto"/>
          <w:lang w:val="fr-CH"/>
        </w:rPr>
        <w:t>3.3. Article IV et Résolution Conf. 16.7 (</w:t>
      </w:r>
      <w:proofErr w:type="spellStart"/>
      <w:r w:rsidRPr="003E07DD">
        <w:rPr>
          <w:rFonts w:cs="Arial"/>
          <w:color w:val="auto"/>
          <w:lang w:val="fr-CH"/>
        </w:rPr>
        <w:t>Rev</w:t>
      </w:r>
      <w:proofErr w:type="spellEnd"/>
      <w:r w:rsidRPr="003E07DD">
        <w:rPr>
          <w:rFonts w:cs="Arial"/>
          <w:color w:val="auto"/>
          <w:lang w:val="fr-CH"/>
        </w:rPr>
        <w:t xml:space="preserve">. CoP17), </w:t>
      </w:r>
      <w:r w:rsidRPr="003E07DD">
        <w:rPr>
          <w:rFonts w:cs="Arial"/>
          <w:i/>
          <w:color w:val="auto"/>
          <w:lang w:val="fr-CH"/>
        </w:rPr>
        <w:t>Avis de commerce non préjudiciable</w:t>
      </w:r>
      <w:r w:rsidRPr="003E07DD">
        <w:rPr>
          <w:rFonts w:cs="Arial"/>
          <w:color w:val="auto"/>
          <w:lang w:val="fr-CH"/>
        </w:rPr>
        <w:t xml:space="preserve"> (ACNP)</w:t>
      </w:r>
      <w:r w:rsidR="007A638A" w:rsidRPr="003E07DD">
        <w:rPr>
          <w:rFonts w:cs="Arial"/>
          <w:color w:val="auto"/>
          <w:lang w:val="fr-CH"/>
        </w:rPr>
        <w:t xml:space="preserve"> </w:t>
      </w:r>
    </w:p>
    <w:p w14:paraId="1BB198EE" w14:textId="51EF97BF" w:rsidR="00A439E1" w:rsidRPr="003E07DD" w:rsidRDefault="00AC3CF9" w:rsidP="00AC3CF9">
      <w:pPr>
        <w:numPr>
          <w:ilvl w:val="0"/>
          <w:numId w:val="20"/>
        </w:numPr>
        <w:tabs>
          <w:tab w:val="clear" w:pos="397"/>
          <w:tab w:val="clear" w:pos="794"/>
          <w:tab w:val="clear" w:pos="1191"/>
          <w:tab w:val="clear" w:pos="1588"/>
          <w:tab w:val="clear" w:pos="1985"/>
        </w:tabs>
        <w:spacing w:after="233"/>
        <w:ind w:right="41" w:hanging="398"/>
        <w:rPr>
          <w:rFonts w:cs="Arial"/>
          <w:color w:val="auto"/>
          <w:lang w:val="fr-CH"/>
        </w:rPr>
      </w:pPr>
      <w:r w:rsidRPr="003E07DD">
        <w:rPr>
          <w:rFonts w:cs="Arial"/>
          <w:color w:val="auto"/>
          <w:lang w:val="fr-CH"/>
        </w:rPr>
        <w:t xml:space="preserve">Mise en œuvre des Décisions 19.243 à 19.245, </w:t>
      </w:r>
      <w:r w:rsidRPr="003E07DD">
        <w:rPr>
          <w:rFonts w:cs="Arial"/>
          <w:i/>
          <w:color w:val="auto"/>
          <w:lang w:val="fr-CH"/>
        </w:rPr>
        <w:t>Espèces d’arbres produisant du bois de rose [</w:t>
      </w:r>
      <w:proofErr w:type="spellStart"/>
      <w:r w:rsidRPr="003E07DD">
        <w:rPr>
          <w:rFonts w:cs="Arial"/>
          <w:i/>
          <w:color w:val="auto"/>
          <w:lang w:val="fr-CH"/>
        </w:rPr>
        <w:t>Leguminosae</w:t>
      </w:r>
      <w:proofErr w:type="spellEnd"/>
      <w:r w:rsidRPr="003E07DD">
        <w:rPr>
          <w:rFonts w:cs="Arial"/>
          <w:i/>
          <w:color w:val="auto"/>
          <w:lang w:val="fr-CH"/>
        </w:rPr>
        <w:t xml:space="preserve"> (</w:t>
      </w:r>
      <w:proofErr w:type="spellStart"/>
      <w:r w:rsidRPr="003E07DD">
        <w:rPr>
          <w:rFonts w:cs="Arial"/>
          <w:i/>
          <w:color w:val="auto"/>
          <w:lang w:val="fr-CH"/>
        </w:rPr>
        <w:t>Fabaceae</w:t>
      </w:r>
      <w:proofErr w:type="spellEnd"/>
      <w:r w:rsidRPr="003E07DD">
        <w:rPr>
          <w:rFonts w:cs="Arial"/>
          <w:i/>
          <w:color w:val="auto"/>
          <w:lang w:val="fr-CH"/>
        </w:rPr>
        <w:t xml:space="preserve">)] </w:t>
      </w:r>
      <w:r w:rsidRPr="003E07DD">
        <w:rPr>
          <w:rFonts w:cs="Arial"/>
          <w:color w:val="auto"/>
          <w:lang w:val="fr-CH"/>
        </w:rPr>
        <w:t>(voir le document PC26 Doc. 29).</w:t>
      </w:r>
      <w:r w:rsidR="007A638A" w:rsidRPr="003E07DD">
        <w:rPr>
          <w:rFonts w:cs="Arial"/>
          <w:color w:val="auto"/>
          <w:lang w:val="fr-CH"/>
        </w:rPr>
        <w:t xml:space="preserve"> </w:t>
      </w:r>
    </w:p>
    <w:p w14:paraId="6CF0F16A" w14:textId="03CA3CD2" w:rsidR="00A439E1" w:rsidRPr="003E07DD" w:rsidRDefault="00AC3CF9" w:rsidP="00AC3CF9">
      <w:pPr>
        <w:numPr>
          <w:ilvl w:val="0"/>
          <w:numId w:val="20"/>
        </w:numPr>
        <w:tabs>
          <w:tab w:val="clear" w:pos="397"/>
          <w:tab w:val="clear" w:pos="794"/>
          <w:tab w:val="clear" w:pos="1191"/>
          <w:tab w:val="clear" w:pos="1588"/>
          <w:tab w:val="clear" w:pos="1985"/>
        </w:tabs>
        <w:spacing w:after="233"/>
        <w:ind w:right="41" w:hanging="398"/>
        <w:rPr>
          <w:rFonts w:cs="Arial"/>
          <w:color w:val="auto"/>
          <w:lang w:val="fr-CH"/>
        </w:rPr>
      </w:pPr>
      <w:r w:rsidRPr="003E07DD">
        <w:rPr>
          <w:rFonts w:cs="Arial"/>
          <w:color w:val="auto"/>
          <w:lang w:val="fr-CH"/>
        </w:rPr>
        <w:t>Mise en œuvre de l’axe de travail du projet d’ANCP de la CITES sur les essences de bois de grande valeur, y compris tous les progrès réalisés dans les essais relatifs aux nouvelles lignes directrices de l’ACNP en la matière (voir le document PC26 Doc. 17).</w:t>
      </w:r>
      <w:r w:rsidR="007A638A" w:rsidRPr="003E07DD">
        <w:rPr>
          <w:rFonts w:cs="Arial"/>
          <w:color w:val="auto"/>
          <w:lang w:val="fr-CH"/>
        </w:rPr>
        <w:t xml:space="preserve"> </w:t>
      </w:r>
    </w:p>
    <w:p w14:paraId="5AB485FB" w14:textId="5A0D3BEB" w:rsidR="00A439E1" w:rsidRPr="003E07DD" w:rsidRDefault="00AC3CF9" w:rsidP="00AC3CF9">
      <w:pPr>
        <w:pStyle w:val="ListParagraph"/>
        <w:numPr>
          <w:ilvl w:val="1"/>
          <w:numId w:val="23"/>
        </w:numPr>
        <w:spacing w:after="232"/>
        <w:ind w:right="41"/>
        <w:jc w:val="both"/>
        <w:rPr>
          <w:rFonts w:ascii="Arial" w:hAnsi="Arial" w:cs="Arial"/>
          <w:sz w:val="20"/>
          <w:szCs w:val="20"/>
          <w:lang w:val="fr-CH"/>
        </w:rPr>
      </w:pPr>
      <w:r w:rsidRPr="003E07DD">
        <w:rPr>
          <w:rFonts w:ascii="Arial" w:hAnsi="Arial" w:cs="Arial"/>
          <w:sz w:val="20"/>
          <w:szCs w:val="20"/>
          <w:lang w:val="fr-CH"/>
        </w:rPr>
        <w:t xml:space="preserve">Article XII et Résolution Conf. 19.4, </w:t>
      </w:r>
      <w:r w:rsidRPr="003E07DD">
        <w:rPr>
          <w:rFonts w:ascii="Arial" w:hAnsi="Arial" w:cs="Arial"/>
          <w:i/>
          <w:sz w:val="20"/>
          <w:szCs w:val="20"/>
          <w:lang w:val="fr-CH"/>
        </w:rPr>
        <w:t>Matériels d’identification des spécimens d’espèces inscrites aux annexes de la CITES</w:t>
      </w:r>
      <w:r w:rsidR="007A638A" w:rsidRPr="003E07DD">
        <w:rPr>
          <w:rFonts w:ascii="Arial" w:hAnsi="Arial" w:cs="Arial"/>
          <w:sz w:val="20"/>
          <w:szCs w:val="20"/>
          <w:lang w:val="fr-CH"/>
        </w:rPr>
        <w:t xml:space="preserve"> </w:t>
      </w:r>
    </w:p>
    <w:p w14:paraId="7B306325" w14:textId="5037478A" w:rsidR="00A439E1" w:rsidRPr="003E07DD" w:rsidRDefault="00AC3CF9" w:rsidP="00AC3CF9">
      <w:pPr>
        <w:ind w:right="41" w:hanging="13"/>
        <w:rPr>
          <w:rFonts w:cs="Arial"/>
          <w:color w:val="auto"/>
          <w:lang w:val="fr-CH"/>
        </w:rPr>
      </w:pPr>
      <w:r w:rsidRPr="003E07DD">
        <w:rPr>
          <w:rFonts w:cs="Arial"/>
          <w:color w:val="auto"/>
          <w:lang w:val="fr-CH"/>
        </w:rPr>
        <w:t xml:space="preserve">Mise en œuvre des Décisions 19.145 to 19.148, </w:t>
      </w:r>
      <w:r w:rsidRPr="003E07DD">
        <w:rPr>
          <w:rFonts w:cs="Arial"/>
          <w:i/>
          <w:color w:val="auto"/>
          <w:lang w:val="fr-CH"/>
        </w:rPr>
        <w:t>Identification des bois et autres produits du bois</w:t>
      </w:r>
      <w:r w:rsidRPr="003E07DD">
        <w:rPr>
          <w:rFonts w:cs="Arial"/>
          <w:color w:val="auto"/>
          <w:lang w:val="fr-CH"/>
        </w:rPr>
        <w:t xml:space="preserve"> (voir le document PC26 Doc. 20)</w:t>
      </w:r>
      <w:r w:rsidR="007A638A" w:rsidRPr="003E07DD">
        <w:rPr>
          <w:rFonts w:cs="Arial"/>
          <w:color w:val="auto"/>
          <w:lang w:val="fr-CH"/>
        </w:rPr>
        <w:t xml:space="preserve"> </w:t>
      </w:r>
    </w:p>
    <w:p w14:paraId="0898F6EA" w14:textId="15E952B9" w:rsidR="00A439E1" w:rsidRPr="003E07DD" w:rsidRDefault="00AC3CF9" w:rsidP="00AC3CF9">
      <w:pPr>
        <w:pStyle w:val="ListParagraph"/>
        <w:numPr>
          <w:ilvl w:val="1"/>
          <w:numId w:val="23"/>
        </w:numPr>
        <w:spacing w:after="233"/>
        <w:ind w:right="41"/>
        <w:jc w:val="both"/>
        <w:rPr>
          <w:rFonts w:ascii="Arial" w:hAnsi="Arial" w:cs="Arial"/>
          <w:sz w:val="20"/>
          <w:szCs w:val="20"/>
          <w:lang w:val="fr-CH"/>
        </w:rPr>
      </w:pPr>
      <w:r w:rsidRPr="003E07DD">
        <w:rPr>
          <w:rFonts w:ascii="Arial" w:hAnsi="Arial" w:cs="Arial"/>
          <w:sz w:val="20"/>
          <w:szCs w:val="20"/>
          <w:lang w:val="fr-CH"/>
        </w:rPr>
        <w:lastRenderedPageBreak/>
        <w:t xml:space="preserve">Résolution Conf. 19.2, </w:t>
      </w:r>
      <w:r w:rsidRPr="003E07DD">
        <w:rPr>
          <w:rFonts w:ascii="Arial" w:hAnsi="Arial" w:cs="Arial"/>
          <w:i/>
          <w:sz w:val="20"/>
          <w:szCs w:val="20"/>
          <w:lang w:val="fr-CH"/>
        </w:rPr>
        <w:t>Renforcement des capacités</w:t>
      </w:r>
      <w:r w:rsidR="007A638A" w:rsidRPr="003E07DD">
        <w:rPr>
          <w:rFonts w:ascii="Arial" w:hAnsi="Arial" w:cs="Arial"/>
          <w:sz w:val="20"/>
          <w:szCs w:val="20"/>
          <w:lang w:val="fr-CH"/>
        </w:rPr>
        <w:t xml:space="preserve"> </w:t>
      </w:r>
    </w:p>
    <w:p w14:paraId="5D36068D" w14:textId="77777777" w:rsidR="007C7B45" w:rsidRDefault="00AC3CF9" w:rsidP="007C7B45">
      <w:pPr>
        <w:tabs>
          <w:tab w:val="right" w:pos="9695"/>
        </w:tabs>
        <w:spacing w:after="8"/>
        <w:ind w:hanging="13"/>
        <w:rPr>
          <w:rFonts w:cs="Arial"/>
          <w:color w:val="auto"/>
          <w:lang w:val="fr-CH"/>
        </w:rPr>
      </w:pPr>
      <w:r w:rsidRPr="003E07DD">
        <w:rPr>
          <w:rFonts w:cs="Arial"/>
          <w:color w:val="auto"/>
          <w:lang w:val="fr-CH"/>
        </w:rPr>
        <w:t xml:space="preserve">Mise en œuvre des projets et programmes phares en lien avec les espèces d’arbres inscrites dans les Annexes de la CITES, tels que le </w:t>
      </w:r>
      <w:r w:rsidRPr="003E07DD">
        <w:rPr>
          <w:rFonts w:cs="Arial"/>
          <w:i/>
          <w:color w:val="auto"/>
          <w:lang w:val="fr-CH"/>
        </w:rPr>
        <w:t>Programme CITES sur les espèces d’arbres</w:t>
      </w:r>
      <w:r w:rsidRPr="003E07DD">
        <w:rPr>
          <w:rFonts w:cs="Arial"/>
          <w:color w:val="auto"/>
          <w:lang w:val="fr-CH"/>
        </w:rPr>
        <w:t xml:space="preserve"> (Décisions 19.49 et 19.50), le</w:t>
      </w:r>
      <w:hyperlink r:id="rId21">
        <w:r w:rsidRPr="00AC3CF9">
          <w:rPr>
            <w:rStyle w:val="Hyperlink"/>
            <w:rFonts w:cs="Arial"/>
            <w:lang w:val="fr-CH"/>
          </w:rPr>
          <w:t xml:space="preserve"> </w:t>
        </w:r>
      </w:hyperlink>
      <w:hyperlink r:id="rId22">
        <w:r w:rsidRPr="00AC3CF9">
          <w:rPr>
            <w:rStyle w:val="Hyperlink"/>
            <w:rFonts w:cs="Arial"/>
            <w:lang w:val="fr-CH"/>
          </w:rPr>
          <w:t>Projet CITES-FAO sur l’amélioration de la gouvernance forestière dans la région du Bas Mékong (LMR)</w:t>
        </w:r>
      </w:hyperlink>
      <w:hyperlink r:id="rId23">
        <w:r w:rsidRPr="00AC3CF9">
          <w:rPr>
            <w:rStyle w:val="Hyperlink"/>
            <w:rFonts w:cs="Arial"/>
            <w:lang w:val="fr-CH"/>
          </w:rPr>
          <w:t>,</w:t>
        </w:r>
      </w:hyperlink>
      <w:r w:rsidRPr="00AC3CF9">
        <w:rPr>
          <w:rFonts w:cs="Arial"/>
          <w:color w:val="800080"/>
          <w:lang w:val="fr-CH"/>
        </w:rPr>
        <w:t xml:space="preserve"> </w:t>
      </w:r>
      <w:r w:rsidRPr="003E07DD">
        <w:rPr>
          <w:rFonts w:cs="Arial"/>
          <w:color w:val="auto"/>
          <w:lang w:val="fr-CH"/>
        </w:rPr>
        <w:t xml:space="preserve">et d’autres projets de renforcement des capacités à venir sur les espèces d’arbres, dont la gestion est assurée par le Secrétariat pendant la période intersessions entre la CoP19 et la CoP20.  </w:t>
      </w:r>
      <w:r w:rsidR="007A638A" w:rsidRPr="003E07DD">
        <w:rPr>
          <w:rFonts w:cs="Arial"/>
          <w:color w:val="auto"/>
          <w:lang w:val="fr-CH"/>
        </w:rPr>
        <w:t xml:space="preserve"> </w:t>
      </w:r>
    </w:p>
    <w:sectPr w:rsidR="007C7B45" w:rsidSect="00B554BF">
      <w:footerReference w:type="default" r:id="rId24"/>
      <w:type w:val="continuous"/>
      <w:pgSz w:w="11907" w:h="16840" w:code="9"/>
      <w:pgMar w:top="1134"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61C0" w14:textId="77777777" w:rsidR="00B11797" w:rsidRDefault="00B11797">
      <w:pPr>
        <w:spacing w:after="0"/>
      </w:pPr>
      <w:r>
        <w:separator/>
      </w:r>
    </w:p>
  </w:endnote>
  <w:endnote w:type="continuationSeparator" w:id="0">
    <w:p w14:paraId="631D3304" w14:textId="77777777" w:rsidR="00B11797" w:rsidRDefault="00B11797">
      <w:pPr>
        <w:spacing w:after="0"/>
      </w:pPr>
      <w:r>
        <w:continuationSeparator/>
      </w:r>
    </w:p>
  </w:endnote>
  <w:endnote w:type="continuationNotice" w:id="1">
    <w:p w14:paraId="5E166498" w14:textId="77777777" w:rsidR="00B11797" w:rsidRDefault="00B11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730F" w14:textId="69EFBAC0" w:rsidR="00FD4563" w:rsidRPr="00B554BF" w:rsidRDefault="00FD4563" w:rsidP="00DC1F28">
    <w:pPr>
      <w:pStyle w:val="Footer"/>
      <w:rPr>
        <w:rFonts w:cs="Arial"/>
      </w:rPr>
    </w:pPr>
    <w:r>
      <w:rPr>
        <w:rFonts w:cs="Arial"/>
      </w:rPr>
      <w:t>PC26</w:t>
    </w:r>
    <w:r w:rsidRPr="00B554BF">
      <w:rPr>
        <w:rFonts w:cs="Arial"/>
      </w:rPr>
      <w:t> </w:t>
    </w:r>
    <w:r>
      <w:rPr>
        <w:rFonts w:cs="Arial"/>
      </w:rPr>
      <w:t>SR</w:t>
    </w:r>
    <w:r w:rsidRPr="00B554BF">
      <w:rPr>
        <w:rStyle w:val="PageNumber"/>
        <w:rFonts w:ascii="Arial" w:hAnsi="Arial" w:cs="Arial"/>
      </w:rPr>
      <w:t xml:space="preserve"> – p. </w:t>
    </w:r>
    <w:r w:rsidRPr="00B554BF">
      <w:rPr>
        <w:rStyle w:val="PageNumber"/>
        <w:rFonts w:ascii="Arial" w:hAnsi="Arial" w:cs="Arial"/>
      </w:rPr>
      <w:fldChar w:fldCharType="begin"/>
    </w:r>
    <w:r w:rsidRPr="00B554BF">
      <w:rPr>
        <w:rStyle w:val="PageNumber"/>
        <w:rFonts w:ascii="Arial" w:hAnsi="Arial" w:cs="Arial"/>
      </w:rPr>
      <w:instrText xml:space="preserve"> PAGE </w:instrText>
    </w:r>
    <w:r w:rsidRPr="00B554BF">
      <w:rPr>
        <w:rStyle w:val="PageNumber"/>
        <w:rFonts w:ascii="Arial" w:hAnsi="Arial" w:cs="Arial"/>
      </w:rPr>
      <w:fldChar w:fldCharType="separate"/>
    </w:r>
    <w:r w:rsidR="00061F0F">
      <w:rPr>
        <w:rStyle w:val="PageNumber"/>
        <w:rFonts w:ascii="Arial" w:hAnsi="Arial" w:cs="Arial"/>
        <w:noProof/>
      </w:rPr>
      <w:t>50</w:t>
    </w:r>
    <w:r w:rsidRPr="00B554B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22F5" w14:textId="77777777" w:rsidR="00B11797" w:rsidRDefault="00B11797" w:rsidP="00082CE3">
      <w:pPr>
        <w:spacing w:before="100" w:after="0"/>
      </w:pPr>
      <w:r>
        <w:separator/>
      </w:r>
    </w:p>
  </w:footnote>
  <w:footnote w:type="continuationSeparator" w:id="0">
    <w:p w14:paraId="0DD2680E" w14:textId="77777777" w:rsidR="00B11797" w:rsidRDefault="00B11797">
      <w:pPr>
        <w:spacing w:after="0"/>
      </w:pPr>
      <w:r>
        <w:continuationSeparator/>
      </w:r>
    </w:p>
  </w:footnote>
  <w:footnote w:type="continuationNotice" w:id="1">
    <w:p w14:paraId="6E4701A2" w14:textId="77777777" w:rsidR="00B11797" w:rsidRDefault="00B117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02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AA0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9213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BE6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C0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8A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6C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A2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41D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E40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E3425"/>
    <w:multiLevelType w:val="hybridMultilevel"/>
    <w:tmpl w:val="718EBE80"/>
    <w:lvl w:ilvl="0" w:tplc="CF92C52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07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CAF50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2402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EE2B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ACBD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9EB0C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2C10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2E41A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95776E"/>
    <w:multiLevelType w:val="hybridMultilevel"/>
    <w:tmpl w:val="23024E24"/>
    <w:lvl w:ilvl="0" w:tplc="0A5E116A">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2C22E">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62EAA">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45F82">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01436">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3E2D7C">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029C2C">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E7970">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6573A">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A96611"/>
    <w:multiLevelType w:val="hybridMultilevel"/>
    <w:tmpl w:val="5DD4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31B75"/>
    <w:multiLevelType w:val="hybridMultilevel"/>
    <w:tmpl w:val="6AE8B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56773"/>
    <w:multiLevelType w:val="hybridMultilevel"/>
    <w:tmpl w:val="D8E0C196"/>
    <w:lvl w:ilvl="0" w:tplc="1C8A226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2B9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CA3B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4036A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C027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78692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AA02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02C2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8AD5E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35E3A93"/>
    <w:multiLevelType w:val="hybridMultilevel"/>
    <w:tmpl w:val="D394800E"/>
    <w:lvl w:ilvl="0" w:tplc="FE1AB80E">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78ADF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58485A">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C87AC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EFC6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6CE63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2E511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C28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252F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7E017B9"/>
    <w:multiLevelType w:val="multilevel"/>
    <w:tmpl w:val="7F7AD86E"/>
    <w:lvl w:ilvl="0">
      <w:start w:val="3"/>
      <w:numFmt w:val="decimal"/>
      <w:lvlText w:val="%1."/>
      <w:lvlJc w:val="left"/>
      <w:pPr>
        <w:ind w:left="360" w:hanging="360"/>
      </w:pPr>
      <w:rPr>
        <w:rFonts w:hint="default"/>
      </w:rPr>
    </w:lvl>
    <w:lvl w:ilvl="1">
      <w:start w:val="4"/>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7" w15:restartNumberingAfterBreak="0">
    <w:nsid w:val="4AEB5061"/>
    <w:multiLevelType w:val="hybridMultilevel"/>
    <w:tmpl w:val="F83C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156A6"/>
    <w:multiLevelType w:val="multilevel"/>
    <w:tmpl w:val="E48C807E"/>
    <w:lvl w:ilvl="0">
      <w:start w:val="7"/>
      <w:numFmt w:val="decimal"/>
      <w:lvlText w:val="%1"/>
      <w:lvlJc w:val="left"/>
      <w:pPr>
        <w:tabs>
          <w:tab w:val="num" w:pos="927"/>
        </w:tabs>
        <w:ind w:left="927" w:hanging="360"/>
      </w:pPr>
      <w:rPr>
        <w:rFonts w:hint="default"/>
      </w:rPr>
    </w:lvl>
    <w:lvl w:ilvl="1">
      <w:start w:val="2"/>
      <w:numFmt w:val="decimal"/>
      <w:lvlText w:val="%1.%2"/>
      <w:lvlJc w:val="left"/>
      <w:pPr>
        <w:tabs>
          <w:tab w:val="num" w:pos="1504"/>
        </w:tabs>
        <w:ind w:left="1504" w:hanging="360"/>
      </w:pPr>
      <w:rPr>
        <w:rFonts w:hint="default"/>
      </w:rPr>
    </w:lvl>
    <w:lvl w:ilvl="2">
      <w:start w:val="1"/>
      <w:numFmt w:val="decimal"/>
      <w:lvlText w:val="%1.%2.%3"/>
      <w:lvlJc w:val="left"/>
      <w:pPr>
        <w:tabs>
          <w:tab w:val="num" w:pos="2441"/>
        </w:tabs>
        <w:ind w:left="2441" w:hanging="720"/>
      </w:pPr>
      <w:rPr>
        <w:rFonts w:hint="default"/>
      </w:rPr>
    </w:lvl>
    <w:lvl w:ilvl="3">
      <w:start w:val="1"/>
      <w:numFmt w:val="decimal"/>
      <w:lvlText w:val="%1.%2.%3.%4"/>
      <w:lvlJc w:val="left"/>
      <w:pPr>
        <w:tabs>
          <w:tab w:val="num" w:pos="3378"/>
        </w:tabs>
        <w:ind w:left="3378" w:hanging="1080"/>
      </w:pPr>
      <w:rPr>
        <w:rFonts w:hint="default"/>
      </w:rPr>
    </w:lvl>
    <w:lvl w:ilvl="4">
      <w:start w:val="1"/>
      <w:numFmt w:val="decimal"/>
      <w:lvlText w:val="%1.%2.%3.%4.%5"/>
      <w:lvlJc w:val="left"/>
      <w:pPr>
        <w:tabs>
          <w:tab w:val="num" w:pos="3955"/>
        </w:tabs>
        <w:ind w:left="3955" w:hanging="1080"/>
      </w:pPr>
      <w:rPr>
        <w:rFonts w:hint="default"/>
      </w:rPr>
    </w:lvl>
    <w:lvl w:ilvl="5">
      <w:start w:val="1"/>
      <w:numFmt w:val="decimal"/>
      <w:lvlText w:val="%1.%2.%3.%4.%5.%6"/>
      <w:lvlJc w:val="left"/>
      <w:pPr>
        <w:tabs>
          <w:tab w:val="num" w:pos="4892"/>
        </w:tabs>
        <w:ind w:left="4892" w:hanging="1440"/>
      </w:pPr>
      <w:rPr>
        <w:rFonts w:hint="default"/>
      </w:rPr>
    </w:lvl>
    <w:lvl w:ilvl="6">
      <w:start w:val="1"/>
      <w:numFmt w:val="decimal"/>
      <w:lvlText w:val="%1.%2.%3.%4.%5.%6.%7"/>
      <w:lvlJc w:val="left"/>
      <w:pPr>
        <w:tabs>
          <w:tab w:val="num" w:pos="5469"/>
        </w:tabs>
        <w:ind w:left="5469" w:hanging="1440"/>
      </w:pPr>
      <w:rPr>
        <w:rFonts w:hint="default"/>
      </w:rPr>
    </w:lvl>
    <w:lvl w:ilvl="7">
      <w:start w:val="1"/>
      <w:numFmt w:val="decimal"/>
      <w:lvlText w:val="%1.%2.%3.%4.%5.%6.%7.%8"/>
      <w:lvlJc w:val="left"/>
      <w:pPr>
        <w:tabs>
          <w:tab w:val="num" w:pos="6406"/>
        </w:tabs>
        <w:ind w:left="6406" w:hanging="1800"/>
      </w:pPr>
      <w:rPr>
        <w:rFonts w:hint="default"/>
      </w:rPr>
    </w:lvl>
    <w:lvl w:ilvl="8">
      <w:start w:val="1"/>
      <w:numFmt w:val="decimal"/>
      <w:lvlText w:val="%1.%2.%3.%4.%5.%6.%7.%8.%9"/>
      <w:lvlJc w:val="left"/>
      <w:pPr>
        <w:tabs>
          <w:tab w:val="num" w:pos="7343"/>
        </w:tabs>
        <w:ind w:left="7343" w:hanging="2160"/>
      </w:pPr>
      <w:rPr>
        <w:rFonts w:hint="default"/>
      </w:rPr>
    </w:lvl>
  </w:abstractNum>
  <w:abstractNum w:abstractNumId="19" w15:restartNumberingAfterBreak="0">
    <w:nsid w:val="55D46744"/>
    <w:multiLevelType w:val="hybridMultilevel"/>
    <w:tmpl w:val="0848FECC"/>
    <w:lvl w:ilvl="0" w:tplc="5854E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00D03"/>
    <w:multiLevelType w:val="hybridMultilevel"/>
    <w:tmpl w:val="D2FE0632"/>
    <w:lvl w:ilvl="0" w:tplc="FBDA7DC2">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2A2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843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7645C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EC42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C674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220A8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AB8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F85E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130DCC"/>
    <w:multiLevelType w:val="hybridMultilevel"/>
    <w:tmpl w:val="ADA4F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66E19"/>
    <w:multiLevelType w:val="hybridMultilevel"/>
    <w:tmpl w:val="E33E4D38"/>
    <w:lvl w:ilvl="0" w:tplc="F1C82DC6">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8D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70FE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EA39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33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A1F4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E11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96C5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80F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2064482">
    <w:abstractNumId w:val="18"/>
  </w:num>
  <w:num w:numId="2" w16cid:durableId="1888251778">
    <w:abstractNumId w:val="9"/>
  </w:num>
  <w:num w:numId="3" w16cid:durableId="1230262863">
    <w:abstractNumId w:val="7"/>
  </w:num>
  <w:num w:numId="4" w16cid:durableId="958101622">
    <w:abstractNumId w:val="6"/>
  </w:num>
  <w:num w:numId="5" w16cid:durableId="1072704315">
    <w:abstractNumId w:val="5"/>
  </w:num>
  <w:num w:numId="6" w16cid:durableId="333608277">
    <w:abstractNumId w:val="4"/>
  </w:num>
  <w:num w:numId="7" w16cid:durableId="964506032">
    <w:abstractNumId w:val="8"/>
  </w:num>
  <w:num w:numId="8" w16cid:durableId="1040278611">
    <w:abstractNumId w:val="3"/>
  </w:num>
  <w:num w:numId="9" w16cid:durableId="637105635">
    <w:abstractNumId w:val="2"/>
  </w:num>
  <w:num w:numId="10" w16cid:durableId="1076781944">
    <w:abstractNumId w:val="1"/>
  </w:num>
  <w:num w:numId="11" w16cid:durableId="1230766233">
    <w:abstractNumId w:val="0"/>
  </w:num>
  <w:num w:numId="12" w16cid:durableId="2124811641">
    <w:abstractNumId w:val="17"/>
  </w:num>
  <w:num w:numId="13" w16cid:durableId="726143977">
    <w:abstractNumId w:val="21"/>
  </w:num>
  <w:num w:numId="14" w16cid:durableId="1216313409">
    <w:abstractNumId w:val="13"/>
  </w:num>
  <w:num w:numId="15" w16cid:durableId="1302812564">
    <w:abstractNumId w:val="12"/>
  </w:num>
  <w:num w:numId="16" w16cid:durableId="1147940730">
    <w:abstractNumId w:val="19"/>
  </w:num>
  <w:num w:numId="17" w16cid:durableId="760875048">
    <w:abstractNumId w:val="22"/>
  </w:num>
  <w:num w:numId="18" w16cid:durableId="2037461217">
    <w:abstractNumId w:val="14"/>
  </w:num>
  <w:num w:numId="19" w16cid:durableId="1996911466">
    <w:abstractNumId w:val="15"/>
  </w:num>
  <w:num w:numId="20" w16cid:durableId="1396587817">
    <w:abstractNumId w:val="10"/>
  </w:num>
  <w:num w:numId="21" w16cid:durableId="1052777357">
    <w:abstractNumId w:val="11"/>
  </w:num>
  <w:num w:numId="22" w16cid:durableId="156700552">
    <w:abstractNumId w:val="20"/>
  </w:num>
  <w:num w:numId="23" w16cid:durableId="1459252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CITES references"/>
    <w:docVar w:name="TermBaseURL" w:val="empty"/>
    <w:docVar w:name="TextBases" w:val="TextBase TMs\ Stand Cttee|TextBase TMs\AC-PC|TextBase TMs\PC|TextBase TMs\References|TextBase TMs\AC|TextBase TMs\COP|TextBase TMs\Resolutions|TextBase TMs\Sig trade|TextBase TMs\Notifications"/>
    <w:docVar w:name="TextBaseURL" w:val="empty"/>
    <w:docVar w:name="UILng" w:val="en"/>
  </w:docVars>
  <w:rsids>
    <w:rsidRoot w:val="006A531B"/>
    <w:rsid w:val="00000698"/>
    <w:rsid w:val="00000EFA"/>
    <w:rsid w:val="000016F9"/>
    <w:rsid w:val="00002421"/>
    <w:rsid w:val="00003483"/>
    <w:rsid w:val="000042EB"/>
    <w:rsid w:val="000051ED"/>
    <w:rsid w:val="00005950"/>
    <w:rsid w:val="0000600C"/>
    <w:rsid w:val="00006265"/>
    <w:rsid w:val="00007121"/>
    <w:rsid w:val="00010F2C"/>
    <w:rsid w:val="00011797"/>
    <w:rsid w:val="000118C9"/>
    <w:rsid w:val="00011D2E"/>
    <w:rsid w:val="00012806"/>
    <w:rsid w:val="000137BF"/>
    <w:rsid w:val="00014810"/>
    <w:rsid w:val="00014898"/>
    <w:rsid w:val="00017B4D"/>
    <w:rsid w:val="00020E5B"/>
    <w:rsid w:val="00022206"/>
    <w:rsid w:val="00022807"/>
    <w:rsid w:val="00025C3A"/>
    <w:rsid w:val="000269A4"/>
    <w:rsid w:val="00027211"/>
    <w:rsid w:val="0003101D"/>
    <w:rsid w:val="000334A7"/>
    <w:rsid w:val="000339A9"/>
    <w:rsid w:val="00033CA8"/>
    <w:rsid w:val="00035DA2"/>
    <w:rsid w:val="000374FB"/>
    <w:rsid w:val="00037656"/>
    <w:rsid w:val="000429AE"/>
    <w:rsid w:val="00044819"/>
    <w:rsid w:val="000456CB"/>
    <w:rsid w:val="0004573A"/>
    <w:rsid w:val="00045DE1"/>
    <w:rsid w:val="00045F7D"/>
    <w:rsid w:val="00045FFE"/>
    <w:rsid w:val="0004664F"/>
    <w:rsid w:val="000468F8"/>
    <w:rsid w:val="00046FCF"/>
    <w:rsid w:val="000477B1"/>
    <w:rsid w:val="0005115F"/>
    <w:rsid w:val="00051242"/>
    <w:rsid w:val="000558C6"/>
    <w:rsid w:val="000567E1"/>
    <w:rsid w:val="000574B0"/>
    <w:rsid w:val="00060068"/>
    <w:rsid w:val="000603B8"/>
    <w:rsid w:val="0006195A"/>
    <w:rsid w:val="00061E66"/>
    <w:rsid w:val="00061F0F"/>
    <w:rsid w:val="000625D0"/>
    <w:rsid w:val="000643F6"/>
    <w:rsid w:val="00064860"/>
    <w:rsid w:val="00064EAD"/>
    <w:rsid w:val="00064FFA"/>
    <w:rsid w:val="00066182"/>
    <w:rsid w:val="000664D2"/>
    <w:rsid w:val="000709B9"/>
    <w:rsid w:val="0007152F"/>
    <w:rsid w:val="00071BA5"/>
    <w:rsid w:val="00072CE8"/>
    <w:rsid w:val="00073EB0"/>
    <w:rsid w:val="00074B53"/>
    <w:rsid w:val="00074E66"/>
    <w:rsid w:val="00075A68"/>
    <w:rsid w:val="000765D5"/>
    <w:rsid w:val="00076C36"/>
    <w:rsid w:val="000779FC"/>
    <w:rsid w:val="00077BB1"/>
    <w:rsid w:val="00082144"/>
    <w:rsid w:val="00082CE3"/>
    <w:rsid w:val="00082E00"/>
    <w:rsid w:val="000831DA"/>
    <w:rsid w:val="00083394"/>
    <w:rsid w:val="00083542"/>
    <w:rsid w:val="00083AD8"/>
    <w:rsid w:val="00084046"/>
    <w:rsid w:val="000863A4"/>
    <w:rsid w:val="000870DA"/>
    <w:rsid w:val="0008750B"/>
    <w:rsid w:val="00091E66"/>
    <w:rsid w:val="00093F16"/>
    <w:rsid w:val="00094297"/>
    <w:rsid w:val="00094CDD"/>
    <w:rsid w:val="000954E6"/>
    <w:rsid w:val="00096713"/>
    <w:rsid w:val="000968C7"/>
    <w:rsid w:val="00097107"/>
    <w:rsid w:val="000A0286"/>
    <w:rsid w:val="000A03EF"/>
    <w:rsid w:val="000A11A9"/>
    <w:rsid w:val="000A1226"/>
    <w:rsid w:val="000A1756"/>
    <w:rsid w:val="000A4256"/>
    <w:rsid w:val="000A4D24"/>
    <w:rsid w:val="000A4E49"/>
    <w:rsid w:val="000A5607"/>
    <w:rsid w:val="000A5E32"/>
    <w:rsid w:val="000A6FAB"/>
    <w:rsid w:val="000A7332"/>
    <w:rsid w:val="000A7C02"/>
    <w:rsid w:val="000B350E"/>
    <w:rsid w:val="000B3EA6"/>
    <w:rsid w:val="000B41C8"/>
    <w:rsid w:val="000B5653"/>
    <w:rsid w:val="000B5F0E"/>
    <w:rsid w:val="000B632B"/>
    <w:rsid w:val="000B6D2E"/>
    <w:rsid w:val="000B7A94"/>
    <w:rsid w:val="000B7AFA"/>
    <w:rsid w:val="000C17C1"/>
    <w:rsid w:val="000C335F"/>
    <w:rsid w:val="000C646B"/>
    <w:rsid w:val="000C6B80"/>
    <w:rsid w:val="000D005D"/>
    <w:rsid w:val="000D0792"/>
    <w:rsid w:val="000D1428"/>
    <w:rsid w:val="000D231C"/>
    <w:rsid w:val="000D2991"/>
    <w:rsid w:val="000D436E"/>
    <w:rsid w:val="000D43B0"/>
    <w:rsid w:val="000D4702"/>
    <w:rsid w:val="000D51EB"/>
    <w:rsid w:val="000D545D"/>
    <w:rsid w:val="000D6C45"/>
    <w:rsid w:val="000D767A"/>
    <w:rsid w:val="000E1195"/>
    <w:rsid w:val="000E129D"/>
    <w:rsid w:val="000E13F4"/>
    <w:rsid w:val="000E158B"/>
    <w:rsid w:val="000E1B0E"/>
    <w:rsid w:val="000E2A80"/>
    <w:rsid w:val="000E4421"/>
    <w:rsid w:val="000E6F1C"/>
    <w:rsid w:val="000E6F66"/>
    <w:rsid w:val="000F0D52"/>
    <w:rsid w:val="000F3749"/>
    <w:rsid w:val="000F5A9D"/>
    <w:rsid w:val="000F5DA2"/>
    <w:rsid w:val="000F7C94"/>
    <w:rsid w:val="000F7F92"/>
    <w:rsid w:val="00100E74"/>
    <w:rsid w:val="001012CA"/>
    <w:rsid w:val="001018C2"/>
    <w:rsid w:val="00101EB7"/>
    <w:rsid w:val="001038B6"/>
    <w:rsid w:val="001075DF"/>
    <w:rsid w:val="00107AB2"/>
    <w:rsid w:val="001101C7"/>
    <w:rsid w:val="00112B89"/>
    <w:rsid w:val="00112DA7"/>
    <w:rsid w:val="00113C4E"/>
    <w:rsid w:val="001150DC"/>
    <w:rsid w:val="0011528A"/>
    <w:rsid w:val="0011540B"/>
    <w:rsid w:val="0011569B"/>
    <w:rsid w:val="0011679B"/>
    <w:rsid w:val="00116C11"/>
    <w:rsid w:val="00116C48"/>
    <w:rsid w:val="001173FC"/>
    <w:rsid w:val="0012178C"/>
    <w:rsid w:val="00122B72"/>
    <w:rsid w:val="001231DE"/>
    <w:rsid w:val="001249CC"/>
    <w:rsid w:val="001251A6"/>
    <w:rsid w:val="001274F6"/>
    <w:rsid w:val="0013087D"/>
    <w:rsid w:val="00130BEE"/>
    <w:rsid w:val="00130DBA"/>
    <w:rsid w:val="00132CA2"/>
    <w:rsid w:val="00132D31"/>
    <w:rsid w:val="00132DF3"/>
    <w:rsid w:val="00133129"/>
    <w:rsid w:val="00133D5B"/>
    <w:rsid w:val="00134155"/>
    <w:rsid w:val="00134DBE"/>
    <w:rsid w:val="001357E7"/>
    <w:rsid w:val="00136B40"/>
    <w:rsid w:val="0014104C"/>
    <w:rsid w:val="001424B1"/>
    <w:rsid w:val="0014274F"/>
    <w:rsid w:val="00143561"/>
    <w:rsid w:val="00143DA3"/>
    <w:rsid w:val="00144C37"/>
    <w:rsid w:val="0014592C"/>
    <w:rsid w:val="001465A5"/>
    <w:rsid w:val="00147FF7"/>
    <w:rsid w:val="00150451"/>
    <w:rsid w:val="001505E7"/>
    <w:rsid w:val="0015644C"/>
    <w:rsid w:val="00156A18"/>
    <w:rsid w:val="001575BE"/>
    <w:rsid w:val="00157709"/>
    <w:rsid w:val="00157A3A"/>
    <w:rsid w:val="0016068F"/>
    <w:rsid w:val="00160764"/>
    <w:rsid w:val="001609CF"/>
    <w:rsid w:val="00160EDC"/>
    <w:rsid w:val="001610CA"/>
    <w:rsid w:val="001645C7"/>
    <w:rsid w:val="00164977"/>
    <w:rsid w:val="00165439"/>
    <w:rsid w:val="001664A3"/>
    <w:rsid w:val="0016720F"/>
    <w:rsid w:val="00167DDF"/>
    <w:rsid w:val="00170CCC"/>
    <w:rsid w:val="00171423"/>
    <w:rsid w:val="00171469"/>
    <w:rsid w:val="00172F8B"/>
    <w:rsid w:val="00173979"/>
    <w:rsid w:val="00174091"/>
    <w:rsid w:val="00177F64"/>
    <w:rsid w:val="0018086D"/>
    <w:rsid w:val="001808B6"/>
    <w:rsid w:val="00180C06"/>
    <w:rsid w:val="00180C35"/>
    <w:rsid w:val="00180CA5"/>
    <w:rsid w:val="00183863"/>
    <w:rsid w:val="00184392"/>
    <w:rsid w:val="0018680A"/>
    <w:rsid w:val="00186A15"/>
    <w:rsid w:val="00187506"/>
    <w:rsid w:val="00187A5D"/>
    <w:rsid w:val="00190C0E"/>
    <w:rsid w:val="00191864"/>
    <w:rsid w:val="001930B4"/>
    <w:rsid w:val="001944CD"/>
    <w:rsid w:val="0019474B"/>
    <w:rsid w:val="001956EA"/>
    <w:rsid w:val="00196C30"/>
    <w:rsid w:val="0019700E"/>
    <w:rsid w:val="001A03E3"/>
    <w:rsid w:val="001A3CD5"/>
    <w:rsid w:val="001A4346"/>
    <w:rsid w:val="001A47D6"/>
    <w:rsid w:val="001A723F"/>
    <w:rsid w:val="001B1822"/>
    <w:rsid w:val="001B2945"/>
    <w:rsid w:val="001B3D54"/>
    <w:rsid w:val="001B436B"/>
    <w:rsid w:val="001B47FB"/>
    <w:rsid w:val="001B5043"/>
    <w:rsid w:val="001B5BD4"/>
    <w:rsid w:val="001B6901"/>
    <w:rsid w:val="001B6B15"/>
    <w:rsid w:val="001B6B60"/>
    <w:rsid w:val="001B73B4"/>
    <w:rsid w:val="001B7460"/>
    <w:rsid w:val="001B75C2"/>
    <w:rsid w:val="001B7FB3"/>
    <w:rsid w:val="001C0732"/>
    <w:rsid w:val="001C236F"/>
    <w:rsid w:val="001C254E"/>
    <w:rsid w:val="001C3A14"/>
    <w:rsid w:val="001C4141"/>
    <w:rsid w:val="001C434E"/>
    <w:rsid w:val="001C4946"/>
    <w:rsid w:val="001C64EF"/>
    <w:rsid w:val="001D091D"/>
    <w:rsid w:val="001D0BE8"/>
    <w:rsid w:val="001D1041"/>
    <w:rsid w:val="001D163F"/>
    <w:rsid w:val="001D16DA"/>
    <w:rsid w:val="001D1CE7"/>
    <w:rsid w:val="001D2056"/>
    <w:rsid w:val="001D2176"/>
    <w:rsid w:val="001D2ED3"/>
    <w:rsid w:val="001D364E"/>
    <w:rsid w:val="001D3901"/>
    <w:rsid w:val="001D393E"/>
    <w:rsid w:val="001D5F8D"/>
    <w:rsid w:val="001D62B0"/>
    <w:rsid w:val="001D6434"/>
    <w:rsid w:val="001D6660"/>
    <w:rsid w:val="001D6995"/>
    <w:rsid w:val="001D7A62"/>
    <w:rsid w:val="001D7ECF"/>
    <w:rsid w:val="001E0092"/>
    <w:rsid w:val="001E0403"/>
    <w:rsid w:val="001E09AF"/>
    <w:rsid w:val="001E21D5"/>
    <w:rsid w:val="001E3FDC"/>
    <w:rsid w:val="001E4B04"/>
    <w:rsid w:val="001E611D"/>
    <w:rsid w:val="001E6577"/>
    <w:rsid w:val="001E7746"/>
    <w:rsid w:val="001F0D39"/>
    <w:rsid w:val="001F14EB"/>
    <w:rsid w:val="001F19E2"/>
    <w:rsid w:val="001F2598"/>
    <w:rsid w:val="001F2D81"/>
    <w:rsid w:val="001F445C"/>
    <w:rsid w:val="001F4D06"/>
    <w:rsid w:val="001F6D06"/>
    <w:rsid w:val="002029EA"/>
    <w:rsid w:val="00203160"/>
    <w:rsid w:val="002035EC"/>
    <w:rsid w:val="00203630"/>
    <w:rsid w:val="00203D51"/>
    <w:rsid w:val="00204AE5"/>
    <w:rsid w:val="002054EE"/>
    <w:rsid w:val="00205A1B"/>
    <w:rsid w:val="00205B9A"/>
    <w:rsid w:val="002062CE"/>
    <w:rsid w:val="0020707F"/>
    <w:rsid w:val="00207351"/>
    <w:rsid w:val="0020765C"/>
    <w:rsid w:val="00207A8D"/>
    <w:rsid w:val="00207F19"/>
    <w:rsid w:val="00207F4B"/>
    <w:rsid w:val="002109CD"/>
    <w:rsid w:val="00211BD4"/>
    <w:rsid w:val="0021345B"/>
    <w:rsid w:val="00214A32"/>
    <w:rsid w:val="00216E0B"/>
    <w:rsid w:val="00217258"/>
    <w:rsid w:val="00217385"/>
    <w:rsid w:val="002179B6"/>
    <w:rsid w:val="00217D4A"/>
    <w:rsid w:val="00220338"/>
    <w:rsid w:val="00223059"/>
    <w:rsid w:val="00224B39"/>
    <w:rsid w:val="002260EE"/>
    <w:rsid w:val="00226AB0"/>
    <w:rsid w:val="00227421"/>
    <w:rsid w:val="00227520"/>
    <w:rsid w:val="00230037"/>
    <w:rsid w:val="00230A19"/>
    <w:rsid w:val="00230D6C"/>
    <w:rsid w:val="00232E7B"/>
    <w:rsid w:val="00234FC2"/>
    <w:rsid w:val="00235606"/>
    <w:rsid w:val="00235D92"/>
    <w:rsid w:val="002367BD"/>
    <w:rsid w:val="00237926"/>
    <w:rsid w:val="0024100A"/>
    <w:rsid w:val="00241908"/>
    <w:rsid w:val="00244C56"/>
    <w:rsid w:val="00244EFB"/>
    <w:rsid w:val="002451F3"/>
    <w:rsid w:val="00250CAD"/>
    <w:rsid w:val="00251CEB"/>
    <w:rsid w:val="00253EFD"/>
    <w:rsid w:val="002554FA"/>
    <w:rsid w:val="002556C9"/>
    <w:rsid w:val="00256A53"/>
    <w:rsid w:val="00257566"/>
    <w:rsid w:val="00260BE3"/>
    <w:rsid w:val="002611AA"/>
    <w:rsid w:val="00261D35"/>
    <w:rsid w:val="00261FBA"/>
    <w:rsid w:val="00262362"/>
    <w:rsid w:val="00262E10"/>
    <w:rsid w:val="0026418B"/>
    <w:rsid w:val="00264AC5"/>
    <w:rsid w:val="00265619"/>
    <w:rsid w:val="00265C0C"/>
    <w:rsid w:val="00266947"/>
    <w:rsid w:val="0027041B"/>
    <w:rsid w:val="002704BD"/>
    <w:rsid w:val="002731F3"/>
    <w:rsid w:val="002741F7"/>
    <w:rsid w:val="002748B8"/>
    <w:rsid w:val="00274CE4"/>
    <w:rsid w:val="00276350"/>
    <w:rsid w:val="0027792A"/>
    <w:rsid w:val="0028094D"/>
    <w:rsid w:val="002809DF"/>
    <w:rsid w:val="0028190A"/>
    <w:rsid w:val="00282972"/>
    <w:rsid w:val="002837D0"/>
    <w:rsid w:val="00283B83"/>
    <w:rsid w:val="00284194"/>
    <w:rsid w:val="00284941"/>
    <w:rsid w:val="00284E32"/>
    <w:rsid w:val="002902F9"/>
    <w:rsid w:val="00291B8A"/>
    <w:rsid w:val="00292E88"/>
    <w:rsid w:val="00293582"/>
    <w:rsid w:val="002935A3"/>
    <w:rsid w:val="00293B66"/>
    <w:rsid w:val="0029433F"/>
    <w:rsid w:val="00294894"/>
    <w:rsid w:val="002979AC"/>
    <w:rsid w:val="002A1560"/>
    <w:rsid w:val="002A2C50"/>
    <w:rsid w:val="002A37B7"/>
    <w:rsid w:val="002A464C"/>
    <w:rsid w:val="002A4C37"/>
    <w:rsid w:val="002A67AB"/>
    <w:rsid w:val="002A6926"/>
    <w:rsid w:val="002A7901"/>
    <w:rsid w:val="002B277F"/>
    <w:rsid w:val="002B3892"/>
    <w:rsid w:val="002B4D50"/>
    <w:rsid w:val="002B4D5A"/>
    <w:rsid w:val="002B622D"/>
    <w:rsid w:val="002B7F20"/>
    <w:rsid w:val="002C06AA"/>
    <w:rsid w:val="002C0754"/>
    <w:rsid w:val="002C0DD7"/>
    <w:rsid w:val="002C1C0C"/>
    <w:rsid w:val="002C4E3A"/>
    <w:rsid w:val="002C4F75"/>
    <w:rsid w:val="002D0B07"/>
    <w:rsid w:val="002D2645"/>
    <w:rsid w:val="002D2DEA"/>
    <w:rsid w:val="002D5166"/>
    <w:rsid w:val="002D629B"/>
    <w:rsid w:val="002D6A8C"/>
    <w:rsid w:val="002D6D71"/>
    <w:rsid w:val="002E03D7"/>
    <w:rsid w:val="002E040B"/>
    <w:rsid w:val="002E25E1"/>
    <w:rsid w:val="002E2CAB"/>
    <w:rsid w:val="002E36E6"/>
    <w:rsid w:val="002E4616"/>
    <w:rsid w:val="002E496C"/>
    <w:rsid w:val="002E7E6D"/>
    <w:rsid w:val="002F055F"/>
    <w:rsid w:val="002F1BCF"/>
    <w:rsid w:val="002F1FAB"/>
    <w:rsid w:val="002F2C81"/>
    <w:rsid w:val="002F3A14"/>
    <w:rsid w:val="002F3F80"/>
    <w:rsid w:val="002F44F8"/>
    <w:rsid w:val="002F4E83"/>
    <w:rsid w:val="00300C03"/>
    <w:rsid w:val="00300FB3"/>
    <w:rsid w:val="0030122F"/>
    <w:rsid w:val="0030207D"/>
    <w:rsid w:val="0030295A"/>
    <w:rsid w:val="00303B51"/>
    <w:rsid w:val="003046D0"/>
    <w:rsid w:val="0030508E"/>
    <w:rsid w:val="003054E3"/>
    <w:rsid w:val="00305C22"/>
    <w:rsid w:val="00310CBB"/>
    <w:rsid w:val="00310E72"/>
    <w:rsid w:val="00311ED5"/>
    <w:rsid w:val="00313819"/>
    <w:rsid w:val="0031403A"/>
    <w:rsid w:val="00314362"/>
    <w:rsid w:val="003145E3"/>
    <w:rsid w:val="003145F7"/>
    <w:rsid w:val="00314909"/>
    <w:rsid w:val="003150C8"/>
    <w:rsid w:val="003157F6"/>
    <w:rsid w:val="00315868"/>
    <w:rsid w:val="003161F0"/>
    <w:rsid w:val="00316F51"/>
    <w:rsid w:val="00316FA1"/>
    <w:rsid w:val="003170B9"/>
    <w:rsid w:val="003217D2"/>
    <w:rsid w:val="0032444A"/>
    <w:rsid w:val="003264CF"/>
    <w:rsid w:val="003270DD"/>
    <w:rsid w:val="0032780E"/>
    <w:rsid w:val="003303F3"/>
    <w:rsid w:val="003309F2"/>
    <w:rsid w:val="00331E70"/>
    <w:rsid w:val="00333245"/>
    <w:rsid w:val="003333ED"/>
    <w:rsid w:val="00334193"/>
    <w:rsid w:val="003341B1"/>
    <w:rsid w:val="003342CB"/>
    <w:rsid w:val="003371CE"/>
    <w:rsid w:val="0033777D"/>
    <w:rsid w:val="003379A9"/>
    <w:rsid w:val="00340D19"/>
    <w:rsid w:val="00344DA8"/>
    <w:rsid w:val="003452E6"/>
    <w:rsid w:val="00345495"/>
    <w:rsid w:val="00345D25"/>
    <w:rsid w:val="00347ED5"/>
    <w:rsid w:val="003508DF"/>
    <w:rsid w:val="00350D16"/>
    <w:rsid w:val="0035424B"/>
    <w:rsid w:val="003552F6"/>
    <w:rsid w:val="00355ABC"/>
    <w:rsid w:val="00355C3F"/>
    <w:rsid w:val="00355FDC"/>
    <w:rsid w:val="0035748F"/>
    <w:rsid w:val="00357ECB"/>
    <w:rsid w:val="00360264"/>
    <w:rsid w:val="00362604"/>
    <w:rsid w:val="00362DA5"/>
    <w:rsid w:val="00364994"/>
    <w:rsid w:val="00365201"/>
    <w:rsid w:val="0036584D"/>
    <w:rsid w:val="00367612"/>
    <w:rsid w:val="0037199C"/>
    <w:rsid w:val="00371C7D"/>
    <w:rsid w:val="00371DE3"/>
    <w:rsid w:val="00373457"/>
    <w:rsid w:val="00373618"/>
    <w:rsid w:val="00380E68"/>
    <w:rsid w:val="0038266E"/>
    <w:rsid w:val="00382773"/>
    <w:rsid w:val="00382A05"/>
    <w:rsid w:val="00382AAD"/>
    <w:rsid w:val="00382C7B"/>
    <w:rsid w:val="00383682"/>
    <w:rsid w:val="0038371F"/>
    <w:rsid w:val="003837D9"/>
    <w:rsid w:val="00385DA3"/>
    <w:rsid w:val="003868B2"/>
    <w:rsid w:val="00386C05"/>
    <w:rsid w:val="00390CC8"/>
    <w:rsid w:val="003911F7"/>
    <w:rsid w:val="00391C3B"/>
    <w:rsid w:val="00391C92"/>
    <w:rsid w:val="00392539"/>
    <w:rsid w:val="003933A3"/>
    <w:rsid w:val="00393752"/>
    <w:rsid w:val="003944A8"/>
    <w:rsid w:val="0039582A"/>
    <w:rsid w:val="0039762C"/>
    <w:rsid w:val="00397792"/>
    <w:rsid w:val="00397E92"/>
    <w:rsid w:val="003A1B33"/>
    <w:rsid w:val="003A1B9A"/>
    <w:rsid w:val="003A2068"/>
    <w:rsid w:val="003A20A4"/>
    <w:rsid w:val="003A2462"/>
    <w:rsid w:val="003A2D8F"/>
    <w:rsid w:val="003A2EFF"/>
    <w:rsid w:val="003A5068"/>
    <w:rsid w:val="003A5319"/>
    <w:rsid w:val="003A5978"/>
    <w:rsid w:val="003A5A37"/>
    <w:rsid w:val="003A6235"/>
    <w:rsid w:val="003A6DDA"/>
    <w:rsid w:val="003A724B"/>
    <w:rsid w:val="003A7BB0"/>
    <w:rsid w:val="003B0105"/>
    <w:rsid w:val="003B07E3"/>
    <w:rsid w:val="003B1E5B"/>
    <w:rsid w:val="003B1EA3"/>
    <w:rsid w:val="003B2C65"/>
    <w:rsid w:val="003B3373"/>
    <w:rsid w:val="003B5748"/>
    <w:rsid w:val="003B58C9"/>
    <w:rsid w:val="003B5EC4"/>
    <w:rsid w:val="003C0123"/>
    <w:rsid w:val="003C03D4"/>
    <w:rsid w:val="003C3306"/>
    <w:rsid w:val="003C3669"/>
    <w:rsid w:val="003C3A44"/>
    <w:rsid w:val="003C3AD6"/>
    <w:rsid w:val="003C5C9E"/>
    <w:rsid w:val="003C7478"/>
    <w:rsid w:val="003D2E97"/>
    <w:rsid w:val="003D3264"/>
    <w:rsid w:val="003D4E41"/>
    <w:rsid w:val="003D68E0"/>
    <w:rsid w:val="003D6F3F"/>
    <w:rsid w:val="003E07DD"/>
    <w:rsid w:val="003E2870"/>
    <w:rsid w:val="003E2AA1"/>
    <w:rsid w:val="003E2D5C"/>
    <w:rsid w:val="003E39BD"/>
    <w:rsid w:val="003E4479"/>
    <w:rsid w:val="003E5468"/>
    <w:rsid w:val="003E638D"/>
    <w:rsid w:val="003E6CE3"/>
    <w:rsid w:val="003F0D51"/>
    <w:rsid w:val="003F29B3"/>
    <w:rsid w:val="003F3A7A"/>
    <w:rsid w:val="003F60A6"/>
    <w:rsid w:val="003F6938"/>
    <w:rsid w:val="0040014B"/>
    <w:rsid w:val="0040076C"/>
    <w:rsid w:val="004019B6"/>
    <w:rsid w:val="00402CB8"/>
    <w:rsid w:val="00403955"/>
    <w:rsid w:val="00403B99"/>
    <w:rsid w:val="00404FA4"/>
    <w:rsid w:val="004052AD"/>
    <w:rsid w:val="004064AC"/>
    <w:rsid w:val="00407369"/>
    <w:rsid w:val="0040791E"/>
    <w:rsid w:val="00407961"/>
    <w:rsid w:val="00410237"/>
    <w:rsid w:val="0041166C"/>
    <w:rsid w:val="00412035"/>
    <w:rsid w:val="0041262B"/>
    <w:rsid w:val="00413874"/>
    <w:rsid w:val="00416221"/>
    <w:rsid w:val="00416569"/>
    <w:rsid w:val="00417405"/>
    <w:rsid w:val="00420374"/>
    <w:rsid w:val="00420590"/>
    <w:rsid w:val="004260D8"/>
    <w:rsid w:val="004265C4"/>
    <w:rsid w:val="00426EF7"/>
    <w:rsid w:val="00427E4A"/>
    <w:rsid w:val="00430FA0"/>
    <w:rsid w:val="0043259F"/>
    <w:rsid w:val="0043293E"/>
    <w:rsid w:val="00432BE0"/>
    <w:rsid w:val="00433765"/>
    <w:rsid w:val="004337DB"/>
    <w:rsid w:val="0043537E"/>
    <w:rsid w:val="004364BB"/>
    <w:rsid w:val="00436CC1"/>
    <w:rsid w:val="0044011A"/>
    <w:rsid w:val="00441D6C"/>
    <w:rsid w:val="004420A0"/>
    <w:rsid w:val="00442343"/>
    <w:rsid w:val="004427ED"/>
    <w:rsid w:val="00443977"/>
    <w:rsid w:val="004501CD"/>
    <w:rsid w:val="00452923"/>
    <w:rsid w:val="00453AB3"/>
    <w:rsid w:val="00453B33"/>
    <w:rsid w:val="00454174"/>
    <w:rsid w:val="004541A8"/>
    <w:rsid w:val="00454DBC"/>
    <w:rsid w:val="00455753"/>
    <w:rsid w:val="004558B6"/>
    <w:rsid w:val="00455B1D"/>
    <w:rsid w:val="00456949"/>
    <w:rsid w:val="00457961"/>
    <w:rsid w:val="00457C99"/>
    <w:rsid w:val="004601EB"/>
    <w:rsid w:val="00461A1E"/>
    <w:rsid w:val="00462296"/>
    <w:rsid w:val="00463BC2"/>
    <w:rsid w:val="00465349"/>
    <w:rsid w:val="00465490"/>
    <w:rsid w:val="004665CA"/>
    <w:rsid w:val="004679F7"/>
    <w:rsid w:val="00467F8A"/>
    <w:rsid w:val="00470AEF"/>
    <w:rsid w:val="004716A8"/>
    <w:rsid w:val="00473106"/>
    <w:rsid w:val="00473854"/>
    <w:rsid w:val="00476116"/>
    <w:rsid w:val="0047679D"/>
    <w:rsid w:val="00476937"/>
    <w:rsid w:val="0047695F"/>
    <w:rsid w:val="0048091C"/>
    <w:rsid w:val="00480D93"/>
    <w:rsid w:val="00483D62"/>
    <w:rsid w:val="00484E33"/>
    <w:rsid w:val="00485EAC"/>
    <w:rsid w:val="00486524"/>
    <w:rsid w:val="00487548"/>
    <w:rsid w:val="00487732"/>
    <w:rsid w:val="0049119E"/>
    <w:rsid w:val="00492571"/>
    <w:rsid w:val="00492EA8"/>
    <w:rsid w:val="00493CB9"/>
    <w:rsid w:val="00493EA2"/>
    <w:rsid w:val="0049511F"/>
    <w:rsid w:val="004951B3"/>
    <w:rsid w:val="00495761"/>
    <w:rsid w:val="00496971"/>
    <w:rsid w:val="00496A97"/>
    <w:rsid w:val="00497F03"/>
    <w:rsid w:val="004A0ED3"/>
    <w:rsid w:val="004A131E"/>
    <w:rsid w:val="004A2335"/>
    <w:rsid w:val="004A2AA5"/>
    <w:rsid w:val="004A2CAC"/>
    <w:rsid w:val="004A5354"/>
    <w:rsid w:val="004A5438"/>
    <w:rsid w:val="004A6CAE"/>
    <w:rsid w:val="004A7B55"/>
    <w:rsid w:val="004B05F2"/>
    <w:rsid w:val="004B093F"/>
    <w:rsid w:val="004B1B73"/>
    <w:rsid w:val="004B2119"/>
    <w:rsid w:val="004B2852"/>
    <w:rsid w:val="004B3187"/>
    <w:rsid w:val="004B4411"/>
    <w:rsid w:val="004B49B5"/>
    <w:rsid w:val="004B4AF1"/>
    <w:rsid w:val="004B55FA"/>
    <w:rsid w:val="004B5781"/>
    <w:rsid w:val="004B5A3C"/>
    <w:rsid w:val="004C0F7C"/>
    <w:rsid w:val="004C0FFF"/>
    <w:rsid w:val="004C1338"/>
    <w:rsid w:val="004C2424"/>
    <w:rsid w:val="004C2E11"/>
    <w:rsid w:val="004C3256"/>
    <w:rsid w:val="004C3429"/>
    <w:rsid w:val="004C3738"/>
    <w:rsid w:val="004C43F8"/>
    <w:rsid w:val="004C6166"/>
    <w:rsid w:val="004C7CA4"/>
    <w:rsid w:val="004C7FAC"/>
    <w:rsid w:val="004D0BBB"/>
    <w:rsid w:val="004D13B4"/>
    <w:rsid w:val="004D2609"/>
    <w:rsid w:val="004D26CF"/>
    <w:rsid w:val="004D2ABC"/>
    <w:rsid w:val="004D2C56"/>
    <w:rsid w:val="004D2FB3"/>
    <w:rsid w:val="004D326C"/>
    <w:rsid w:val="004D3456"/>
    <w:rsid w:val="004D6E4D"/>
    <w:rsid w:val="004E0255"/>
    <w:rsid w:val="004E04B3"/>
    <w:rsid w:val="004E052B"/>
    <w:rsid w:val="004E15F9"/>
    <w:rsid w:val="004E3C4B"/>
    <w:rsid w:val="004E51EE"/>
    <w:rsid w:val="004E5E39"/>
    <w:rsid w:val="004E62B9"/>
    <w:rsid w:val="004F079C"/>
    <w:rsid w:val="004F0E68"/>
    <w:rsid w:val="004F1B42"/>
    <w:rsid w:val="004F3A74"/>
    <w:rsid w:val="005004DE"/>
    <w:rsid w:val="00500D6B"/>
    <w:rsid w:val="0050182E"/>
    <w:rsid w:val="00501CC8"/>
    <w:rsid w:val="00504876"/>
    <w:rsid w:val="00505F81"/>
    <w:rsid w:val="005071C5"/>
    <w:rsid w:val="00507546"/>
    <w:rsid w:val="005075B6"/>
    <w:rsid w:val="005112C2"/>
    <w:rsid w:val="005138CF"/>
    <w:rsid w:val="00514477"/>
    <w:rsid w:val="005147CA"/>
    <w:rsid w:val="00514ADC"/>
    <w:rsid w:val="005153FD"/>
    <w:rsid w:val="00515994"/>
    <w:rsid w:val="005160AE"/>
    <w:rsid w:val="005163BA"/>
    <w:rsid w:val="00520E58"/>
    <w:rsid w:val="005218B2"/>
    <w:rsid w:val="00522328"/>
    <w:rsid w:val="0052391C"/>
    <w:rsid w:val="00523B2E"/>
    <w:rsid w:val="00525828"/>
    <w:rsid w:val="00525C9D"/>
    <w:rsid w:val="00526863"/>
    <w:rsid w:val="00526ACA"/>
    <w:rsid w:val="00526E67"/>
    <w:rsid w:val="00527296"/>
    <w:rsid w:val="00530C14"/>
    <w:rsid w:val="00531140"/>
    <w:rsid w:val="00532259"/>
    <w:rsid w:val="0053229D"/>
    <w:rsid w:val="00532ACA"/>
    <w:rsid w:val="005333E7"/>
    <w:rsid w:val="00534FEF"/>
    <w:rsid w:val="0053552C"/>
    <w:rsid w:val="00535FDD"/>
    <w:rsid w:val="00536567"/>
    <w:rsid w:val="00536D38"/>
    <w:rsid w:val="0053703F"/>
    <w:rsid w:val="005404E6"/>
    <w:rsid w:val="005409B8"/>
    <w:rsid w:val="00540BAC"/>
    <w:rsid w:val="00541D86"/>
    <w:rsid w:val="00541DAE"/>
    <w:rsid w:val="00542350"/>
    <w:rsid w:val="00542BA4"/>
    <w:rsid w:val="00542E70"/>
    <w:rsid w:val="00543819"/>
    <w:rsid w:val="00544D01"/>
    <w:rsid w:val="00544F1F"/>
    <w:rsid w:val="005450EE"/>
    <w:rsid w:val="005472C9"/>
    <w:rsid w:val="00553BA4"/>
    <w:rsid w:val="00553D59"/>
    <w:rsid w:val="00553DA2"/>
    <w:rsid w:val="00554BA2"/>
    <w:rsid w:val="00556DE4"/>
    <w:rsid w:val="0055756E"/>
    <w:rsid w:val="00557BD9"/>
    <w:rsid w:val="00560BAC"/>
    <w:rsid w:val="00560DF1"/>
    <w:rsid w:val="005628FF"/>
    <w:rsid w:val="00562AD4"/>
    <w:rsid w:val="00563728"/>
    <w:rsid w:val="00563EDB"/>
    <w:rsid w:val="00564B95"/>
    <w:rsid w:val="0056507B"/>
    <w:rsid w:val="00565613"/>
    <w:rsid w:val="00570E5D"/>
    <w:rsid w:val="00571BD6"/>
    <w:rsid w:val="005730D2"/>
    <w:rsid w:val="00573B14"/>
    <w:rsid w:val="00576275"/>
    <w:rsid w:val="005762D3"/>
    <w:rsid w:val="00576937"/>
    <w:rsid w:val="005769C7"/>
    <w:rsid w:val="005808F2"/>
    <w:rsid w:val="00580FF8"/>
    <w:rsid w:val="00583726"/>
    <w:rsid w:val="00584967"/>
    <w:rsid w:val="00585CDC"/>
    <w:rsid w:val="00585DC1"/>
    <w:rsid w:val="00590F3A"/>
    <w:rsid w:val="00591E8B"/>
    <w:rsid w:val="005923EB"/>
    <w:rsid w:val="0059247D"/>
    <w:rsid w:val="005924E2"/>
    <w:rsid w:val="00592932"/>
    <w:rsid w:val="0059338F"/>
    <w:rsid w:val="00596603"/>
    <w:rsid w:val="005968D9"/>
    <w:rsid w:val="00596A0D"/>
    <w:rsid w:val="005A185A"/>
    <w:rsid w:val="005A2B5B"/>
    <w:rsid w:val="005A4087"/>
    <w:rsid w:val="005A5F38"/>
    <w:rsid w:val="005A67FA"/>
    <w:rsid w:val="005B0A79"/>
    <w:rsid w:val="005B2B7F"/>
    <w:rsid w:val="005B352E"/>
    <w:rsid w:val="005B4BC9"/>
    <w:rsid w:val="005B5111"/>
    <w:rsid w:val="005B572B"/>
    <w:rsid w:val="005B69EE"/>
    <w:rsid w:val="005B6E48"/>
    <w:rsid w:val="005B776B"/>
    <w:rsid w:val="005B77B1"/>
    <w:rsid w:val="005C16F3"/>
    <w:rsid w:val="005C27F5"/>
    <w:rsid w:val="005C40DC"/>
    <w:rsid w:val="005C55E9"/>
    <w:rsid w:val="005C5DF1"/>
    <w:rsid w:val="005C62C0"/>
    <w:rsid w:val="005D0957"/>
    <w:rsid w:val="005D0E0D"/>
    <w:rsid w:val="005D1B58"/>
    <w:rsid w:val="005D28CE"/>
    <w:rsid w:val="005D29F5"/>
    <w:rsid w:val="005D36DA"/>
    <w:rsid w:val="005D4776"/>
    <w:rsid w:val="005D48D9"/>
    <w:rsid w:val="005D5A5F"/>
    <w:rsid w:val="005D5E70"/>
    <w:rsid w:val="005D633A"/>
    <w:rsid w:val="005D7AA2"/>
    <w:rsid w:val="005D7BC3"/>
    <w:rsid w:val="005E07E0"/>
    <w:rsid w:val="005E2631"/>
    <w:rsid w:val="005E2F0C"/>
    <w:rsid w:val="005E3269"/>
    <w:rsid w:val="005E3403"/>
    <w:rsid w:val="005E3EF2"/>
    <w:rsid w:val="005E7E4C"/>
    <w:rsid w:val="005E7EF0"/>
    <w:rsid w:val="005F0121"/>
    <w:rsid w:val="005F088C"/>
    <w:rsid w:val="005F2D86"/>
    <w:rsid w:val="005F42AD"/>
    <w:rsid w:val="005F43D9"/>
    <w:rsid w:val="005F4DCF"/>
    <w:rsid w:val="005F5A15"/>
    <w:rsid w:val="005F6C58"/>
    <w:rsid w:val="005F6C65"/>
    <w:rsid w:val="005F7632"/>
    <w:rsid w:val="005F7A40"/>
    <w:rsid w:val="00600130"/>
    <w:rsid w:val="00600422"/>
    <w:rsid w:val="006011AC"/>
    <w:rsid w:val="00601915"/>
    <w:rsid w:val="00605421"/>
    <w:rsid w:val="00605ABC"/>
    <w:rsid w:val="00611B0C"/>
    <w:rsid w:val="006120F4"/>
    <w:rsid w:val="0061430F"/>
    <w:rsid w:val="006158BC"/>
    <w:rsid w:val="00615A15"/>
    <w:rsid w:val="00621269"/>
    <w:rsid w:val="00623178"/>
    <w:rsid w:val="00625597"/>
    <w:rsid w:val="0062592B"/>
    <w:rsid w:val="00626F99"/>
    <w:rsid w:val="006301E0"/>
    <w:rsid w:val="00631EB2"/>
    <w:rsid w:val="006330F7"/>
    <w:rsid w:val="00633C79"/>
    <w:rsid w:val="00634D78"/>
    <w:rsid w:val="00635493"/>
    <w:rsid w:val="00635F6D"/>
    <w:rsid w:val="00636610"/>
    <w:rsid w:val="006406C1"/>
    <w:rsid w:val="006424AD"/>
    <w:rsid w:val="00642737"/>
    <w:rsid w:val="00644356"/>
    <w:rsid w:val="00646CCC"/>
    <w:rsid w:val="0065111B"/>
    <w:rsid w:val="006511FC"/>
    <w:rsid w:val="00652B7D"/>
    <w:rsid w:val="00656C77"/>
    <w:rsid w:val="00660D98"/>
    <w:rsid w:val="006612EE"/>
    <w:rsid w:val="006621BE"/>
    <w:rsid w:val="006646A6"/>
    <w:rsid w:val="006647A6"/>
    <w:rsid w:val="006647C2"/>
    <w:rsid w:val="006658B6"/>
    <w:rsid w:val="006664C2"/>
    <w:rsid w:val="00666BCD"/>
    <w:rsid w:val="00666DCE"/>
    <w:rsid w:val="00670146"/>
    <w:rsid w:val="0067149F"/>
    <w:rsid w:val="006736F8"/>
    <w:rsid w:val="00673932"/>
    <w:rsid w:val="00673969"/>
    <w:rsid w:val="0067652A"/>
    <w:rsid w:val="00677705"/>
    <w:rsid w:val="00680007"/>
    <w:rsid w:val="00680D8C"/>
    <w:rsid w:val="00680F31"/>
    <w:rsid w:val="00681309"/>
    <w:rsid w:val="006814EE"/>
    <w:rsid w:val="00682113"/>
    <w:rsid w:val="006823B2"/>
    <w:rsid w:val="00683A74"/>
    <w:rsid w:val="00684C79"/>
    <w:rsid w:val="00686259"/>
    <w:rsid w:val="00686445"/>
    <w:rsid w:val="00686A8E"/>
    <w:rsid w:val="00690FFE"/>
    <w:rsid w:val="00691329"/>
    <w:rsid w:val="00691500"/>
    <w:rsid w:val="00692B5B"/>
    <w:rsid w:val="006944A4"/>
    <w:rsid w:val="00695065"/>
    <w:rsid w:val="006957A8"/>
    <w:rsid w:val="006957BD"/>
    <w:rsid w:val="00695C2B"/>
    <w:rsid w:val="0069697C"/>
    <w:rsid w:val="00696CE2"/>
    <w:rsid w:val="0069744A"/>
    <w:rsid w:val="00697603"/>
    <w:rsid w:val="006A013D"/>
    <w:rsid w:val="006A0CAE"/>
    <w:rsid w:val="006A19ED"/>
    <w:rsid w:val="006A1E5B"/>
    <w:rsid w:val="006A3776"/>
    <w:rsid w:val="006A3DC3"/>
    <w:rsid w:val="006A531B"/>
    <w:rsid w:val="006A59DC"/>
    <w:rsid w:val="006A7655"/>
    <w:rsid w:val="006A7D82"/>
    <w:rsid w:val="006B15CF"/>
    <w:rsid w:val="006B2454"/>
    <w:rsid w:val="006B3278"/>
    <w:rsid w:val="006B34AA"/>
    <w:rsid w:val="006B5364"/>
    <w:rsid w:val="006B58B9"/>
    <w:rsid w:val="006B685A"/>
    <w:rsid w:val="006B7515"/>
    <w:rsid w:val="006C02D0"/>
    <w:rsid w:val="006C0F0D"/>
    <w:rsid w:val="006C225F"/>
    <w:rsid w:val="006C2949"/>
    <w:rsid w:val="006C2E9C"/>
    <w:rsid w:val="006C37AB"/>
    <w:rsid w:val="006C3FED"/>
    <w:rsid w:val="006C4784"/>
    <w:rsid w:val="006C5D9B"/>
    <w:rsid w:val="006C6F48"/>
    <w:rsid w:val="006C7688"/>
    <w:rsid w:val="006C7C15"/>
    <w:rsid w:val="006C7EC5"/>
    <w:rsid w:val="006D0523"/>
    <w:rsid w:val="006D099D"/>
    <w:rsid w:val="006D184C"/>
    <w:rsid w:val="006D1FB1"/>
    <w:rsid w:val="006D3E0E"/>
    <w:rsid w:val="006D49C9"/>
    <w:rsid w:val="006D52DB"/>
    <w:rsid w:val="006D5C45"/>
    <w:rsid w:val="006D6B56"/>
    <w:rsid w:val="006D7AF8"/>
    <w:rsid w:val="006D7D6C"/>
    <w:rsid w:val="006E0438"/>
    <w:rsid w:val="006E2A91"/>
    <w:rsid w:val="006E3061"/>
    <w:rsid w:val="006E4291"/>
    <w:rsid w:val="006E4C0F"/>
    <w:rsid w:val="006E5984"/>
    <w:rsid w:val="006E6C24"/>
    <w:rsid w:val="006E6F32"/>
    <w:rsid w:val="006E7951"/>
    <w:rsid w:val="006E7973"/>
    <w:rsid w:val="006F025F"/>
    <w:rsid w:val="006F09F0"/>
    <w:rsid w:val="006F0C28"/>
    <w:rsid w:val="006F1FC2"/>
    <w:rsid w:val="006F266F"/>
    <w:rsid w:val="006F2BB4"/>
    <w:rsid w:val="006F2E07"/>
    <w:rsid w:val="006F336A"/>
    <w:rsid w:val="006F349D"/>
    <w:rsid w:val="006F3BE4"/>
    <w:rsid w:val="006F4DB1"/>
    <w:rsid w:val="006F50B0"/>
    <w:rsid w:val="006F54E7"/>
    <w:rsid w:val="006F5E41"/>
    <w:rsid w:val="006F62B1"/>
    <w:rsid w:val="006F784E"/>
    <w:rsid w:val="00700F3C"/>
    <w:rsid w:val="00701C9D"/>
    <w:rsid w:val="00701CBF"/>
    <w:rsid w:val="0070320C"/>
    <w:rsid w:val="00707288"/>
    <w:rsid w:val="00707A15"/>
    <w:rsid w:val="00710E5D"/>
    <w:rsid w:val="00711134"/>
    <w:rsid w:val="00711E55"/>
    <w:rsid w:val="00714332"/>
    <w:rsid w:val="00714B6A"/>
    <w:rsid w:val="0071672F"/>
    <w:rsid w:val="0071746F"/>
    <w:rsid w:val="00721D05"/>
    <w:rsid w:val="00721D61"/>
    <w:rsid w:val="007244F4"/>
    <w:rsid w:val="00724DFB"/>
    <w:rsid w:val="00725C43"/>
    <w:rsid w:val="00725D37"/>
    <w:rsid w:val="00726F4C"/>
    <w:rsid w:val="007309E0"/>
    <w:rsid w:val="007315E1"/>
    <w:rsid w:val="00732150"/>
    <w:rsid w:val="0073238D"/>
    <w:rsid w:val="00732597"/>
    <w:rsid w:val="00732F44"/>
    <w:rsid w:val="00733342"/>
    <w:rsid w:val="007335D5"/>
    <w:rsid w:val="00733755"/>
    <w:rsid w:val="007337D7"/>
    <w:rsid w:val="007343E9"/>
    <w:rsid w:val="00734AE6"/>
    <w:rsid w:val="00735A52"/>
    <w:rsid w:val="00735C27"/>
    <w:rsid w:val="00736172"/>
    <w:rsid w:val="0073709D"/>
    <w:rsid w:val="007410F7"/>
    <w:rsid w:val="00741C95"/>
    <w:rsid w:val="00741D1E"/>
    <w:rsid w:val="0074257A"/>
    <w:rsid w:val="007427AD"/>
    <w:rsid w:val="00743560"/>
    <w:rsid w:val="0074371B"/>
    <w:rsid w:val="00746469"/>
    <w:rsid w:val="00747202"/>
    <w:rsid w:val="00747CB4"/>
    <w:rsid w:val="00750ECC"/>
    <w:rsid w:val="0075179A"/>
    <w:rsid w:val="00751B08"/>
    <w:rsid w:val="007531A0"/>
    <w:rsid w:val="00753246"/>
    <w:rsid w:val="00753745"/>
    <w:rsid w:val="007543AF"/>
    <w:rsid w:val="007549CB"/>
    <w:rsid w:val="0075639E"/>
    <w:rsid w:val="00756A75"/>
    <w:rsid w:val="00756B66"/>
    <w:rsid w:val="00760948"/>
    <w:rsid w:val="007612B2"/>
    <w:rsid w:val="00761DDD"/>
    <w:rsid w:val="00761E89"/>
    <w:rsid w:val="00762371"/>
    <w:rsid w:val="007629AE"/>
    <w:rsid w:val="00762A48"/>
    <w:rsid w:val="00762AE9"/>
    <w:rsid w:val="00763F44"/>
    <w:rsid w:val="0076454B"/>
    <w:rsid w:val="00764EFB"/>
    <w:rsid w:val="00765F58"/>
    <w:rsid w:val="00765F84"/>
    <w:rsid w:val="0076678F"/>
    <w:rsid w:val="00767359"/>
    <w:rsid w:val="00767E4F"/>
    <w:rsid w:val="007701D8"/>
    <w:rsid w:val="007715CF"/>
    <w:rsid w:val="00771AF3"/>
    <w:rsid w:val="00771EC2"/>
    <w:rsid w:val="007721A4"/>
    <w:rsid w:val="00776208"/>
    <w:rsid w:val="00776691"/>
    <w:rsid w:val="00777F01"/>
    <w:rsid w:val="007811B2"/>
    <w:rsid w:val="00783A2F"/>
    <w:rsid w:val="00784B41"/>
    <w:rsid w:val="00784C9C"/>
    <w:rsid w:val="00786763"/>
    <w:rsid w:val="00786A72"/>
    <w:rsid w:val="00787204"/>
    <w:rsid w:val="007875F2"/>
    <w:rsid w:val="00787B94"/>
    <w:rsid w:val="007906C0"/>
    <w:rsid w:val="00791B85"/>
    <w:rsid w:val="00791FFB"/>
    <w:rsid w:val="00792A10"/>
    <w:rsid w:val="00794AE7"/>
    <w:rsid w:val="00795164"/>
    <w:rsid w:val="0079517F"/>
    <w:rsid w:val="007952C9"/>
    <w:rsid w:val="00795C30"/>
    <w:rsid w:val="00797446"/>
    <w:rsid w:val="00797BE7"/>
    <w:rsid w:val="007A0008"/>
    <w:rsid w:val="007A0163"/>
    <w:rsid w:val="007A0B68"/>
    <w:rsid w:val="007A0D00"/>
    <w:rsid w:val="007A1141"/>
    <w:rsid w:val="007A2B53"/>
    <w:rsid w:val="007A56CA"/>
    <w:rsid w:val="007A638A"/>
    <w:rsid w:val="007A6B05"/>
    <w:rsid w:val="007B1C6E"/>
    <w:rsid w:val="007B1F19"/>
    <w:rsid w:val="007B2541"/>
    <w:rsid w:val="007B25AB"/>
    <w:rsid w:val="007B2E61"/>
    <w:rsid w:val="007B4595"/>
    <w:rsid w:val="007B481E"/>
    <w:rsid w:val="007B4A4E"/>
    <w:rsid w:val="007B4A61"/>
    <w:rsid w:val="007B5500"/>
    <w:rsid w:val="007C02CC"/>
    <w:rsid w:val="007C0C93"/>
    <w:rsid w:val="007C1154"/>
    <w:rsid w:val="007C1512"/>
    <w:rsid w:val="007C1729"/>
    <w:rsid w:val="007C3797"/>
    <w:rsid w:val="007C488D"/>
    <w:rsid w:val="007C4968"/>
    <w:rsid w:val="007C5658"/>
    <w:rsid w:val="007C5AB5"/>
    <w:rsid w:val="007C60D7"/>
    <w:rsid w:val="007C66C8"/>
    <w:rsid w:val="007C7207"/>
    <w:rsid w:val="007C76F1"/>
    <w:rsid w:val="007C7B45"/>
    <w:rsid w:val="007C7D8C"/>
    <w:rsid w:val="007D03DA"/>
    <w:rsid w:val="007D1811"/>
    <w:rsid w:val="007D3BC2"/>
    <w:rsid w:val="007D45B3"/>
    <w:rsid w:val="007D4EE3"/>
    <w:rsid w:val="007D68F9"/>
    <w:rsid w:val="007D7075"/>
    <w:rsid w:val="007D7E1F"/>
    <w:rsid w:val="007E1468"/>
    <w:rsid w:val="007E2D95"/>
    <w:rsid w:val="007E357E"/>
    <w:rsid w:val="007E519A"/>
    <w:rsid w:val="007E6359"/>
    <w:rsid w:val="007F278C"/>
    <w:rsid w:val="007F37DD"/>
    <w:rsid w:val="007F673D"/>
    <w:rsid w:val="00800B88"/>
    <w:rsid w:val="00802EFA"/>
    <w:rsid w:val="008030DF"/>
    <w:rsid w:val="00804F76"/>
    <w:rsid w:val="008053BC"/>
    <w:rsid w:val="00805DFE"/>
    <w:rsid w:val="008064AE"/>
    <w:rsid w:val="0080657F"/>
    <w:rsid w:val="00807089"/>
    <w:rsid w:val="00807AC1"/>
    <w:rsid w:val="00810140"/>
    <w:rsid w:val="00810D21"/>
    <w:rsid w:val="008117C9"/>
    <w:rsid w:val="00812EC7"/>
    <w:rsid w:val="008135A6"/>
    <w:rsid w:val="0081471C"/>
    <w:rsid w:val="00815DD8"/>
    <w:rsid w:val="008169B7"/>
    <w:rsid w:val="00816AA8"/>
    <w:rsid w:val="008179A9"/>
    <w:rsid w:val="00817EE7"/>
    <w:rsid w:val="00821987"/>
    <w:rsid w:val="00823FEE"/>
    <w:rsid w:val="00824DF2"/>
    <w:rsid w:val="008257FD"/>
    <w:rsid w:val="00825965"/>
    <w:rsid w:val="00825EAB"/>
    <w:rsid w:val="0082609D"/>
    <w:rsid w:val="0082626B"/>
    <w:rsid w:val="008268F0"/>
    <w:rsid w:val="00826EA3"/>
    <w:rsid w:val="008300F2"/>
    <w:rsid w:val="00832DFE"/>
    <w:rsid w:val="00832F6C"/>
    <w:rsid w:val="00833933"/>
    <w:rsid w:val="00833AB0"/>
    <w:rsid w:val="00833CE8"/>
    <w:rsid w:val="008342C2"/>
    <w:rsid w:val="00835041"/>
    <w:rsid w:val="00835A5A"/>
    <w:rsid w:val="00835F31"/>
    <w:rsid w:val="008374D8"/>
    <w:rsid w:val="00837762"/>
    <w:rsid w:val="0084030C"/>
    <w:rsid w:val="0084060C"/>
    <w:rsid w:val="00840C35"/>
    <w:rsid w:val="00842900"/>
    <w:rsid w:val="00844276"/>
    <w:rsid w:val="00844D59"/>
    <w:rsid w:val="00846493"/>
    <w:rsid w:val="008465C0"/>
    <w:rsid w:val="00850FFC"/>
    <w:rsid w:val="00853F53"/>
    <w:rsid w:val="00853F73"/>
    <w:rsid w:val="0085414F"/>
    <w:rsid w:val="00854F82"/>
    <w:rsid w:val="00855CB4"/>
    <w:rsid w:val="00855E33"/>
    <w:rsid w:val="0085621E"/>
    <w:rsid w:val="00857EC6"/>
    <w:rsid w:val="0086416B"/>
    <w:rsid w:val="00865FA2"/>
    <w:rsid w:val="008661AE"/>
    <w:rsid w:val="00866495"/>
    <w:rsid w:val="00866F39"/>
    <w:rsid w:val="00867760"/>
    <w:rsid w:val="008700AA"/>
    <w:rsid w:val="00870377"/>
    <w:rsid w:val="00870496"/>
    <w:rsid w:val="00871D69"/>
    <w:rsid w:val="00872A7A"/>
    <w:rsid w:val="00873564"/>
    <w:rsid w:val="008737C0"/>
    <w:rsid w:val="00874840"/>
    <w:rsid w:val="0087690A"/>
    <w:rsid w:val="0088028B"/>
    <w:rsid w:val="008811DE"/>
    <w:rsid w:val="00881EC5"/>
    <w:rsid w:val="00883829"/>
    <w:rsid w:val="0088392C"/>
    <w:rsid w:val="00884B55"/>
    <w:rsid w:val="00884E2C"/>
    <w:rsid w:val="00887059"/>
    <w:rsid w:val="00887AB2"/>
    <w:rsid w:val="00891E18"/>
    <w:rsid w:val="00896E7B"/>
    <w:rsid w:val="00897DFE"/>
    <w:rsid w:val="008A099E"/>
    <w:rsid w:val="008A09FF"/>
    <w:rsid w:val="008A1C58"/>
    <w:rsid w:val="008A266B"/>
    <w:rsid w:val="008A2B96"/>
    <w:rsid w:val="008A42C9"/>
    <w:rsid w:val="008A7816"/>
    <w:rsid w:val="008B1E1D"/>
    <w:rsid w:val="008B2A7A"/>
    <w:rsid w:val="008B359D"/>
    <w:rsid w:val="008B3BA1"/>
    <w:rsid w:val="008B7CCD"/>
    <w:rsid w:val="008C18C6"/>
    <w:rsid w:val="008C2989"/>
    <w:rsid w:val="008C353E"/>
    <w:rsid w:val="008C3DD6"/>
    <w:rsid w:val="008C4818"/>
    <w:rsid w:val="008C61ED"/>
    <w:rsid w:val="008C7ED8"/>
    <w:rsid w:val="008D09DB"/>
    <w:rsid w:val="008D15A9"/>
    <w:rsid w:val="008D184E"/>
    <w:rsid w:val="008D29C4"/>
    <w:rsid w:val="008D3B72"/>
    <w:rsid w:val="008D410C"/>
    <w:rsid w:val="008D4EF0"/>
    <w:rsid w:val="008D59D3"/>
    <w:rsid w:val="008D6B99"/>
    <w:rsid w:val="008E0438"/>
    <w:rsid w:val="008E1227"/>
    <w:rsid w:val="008E59C7"/>
    <w:rsid w:val="008E5E6E"/>
    <w:rsid w:val="008E6384"/>
    <w:rsid w:val="008E7218"/>
    <w:rsid w:val="008F01C5"/>
    <w:rsid w:val="008F0E9E"/>
    <w:rsid w:val="008F13FF"/>
    <w:rsid w:val="008F2083"/>
    <w:rsid w:val="008F30AA"/>
    <w:rsid w:val="008F3472"/>
    <w:rsid w:val="008F37DF"/>
    <w:rsid w:val="008F3BD1"/>
    <w:rsid w:val="008F3EB1"/>
    <w:rsid w:val="008F5131"/>
    <w:rsid w:val="008F6012"/>
    <w:rsid w:val="008F662E"/>
    <w:rsid w:val="008F6AA7"/>
    <w:rsid w:val="008F74F2"/>
    <w:rsid w:val="00900A74"/>
    <w:rsid w:val="009017B8"/>
    <w:rsid w:val="009022D3"/>
    <w:rsid w:val="0090338A"/>
    <w:rsid w:val="0090363A"/>
    <w:rsid w:val="0090397F"/>
    <w:rsid w:val="00903A79"/>
    <w:rsid w:val="00904F3C"/>
    <w:rsid w:val="0090673B"/>
    <w:rsid w:val="00907E92"/>
    <w:rsid w:val="00910028"/>
    <w:rsid w:val="00910C2F"/>
    <w:rsid w:val="00912B82"/>
    <w:rsid w:val="0091319D"/>
    <w:rsid w:val="00913322"/>
    <w:rsid w:val="00914A51"/>
    <w:rsid w:val="009150E9"/>
    <w:rsid w:val="00915D88"/>
    <w:rsid w:val="0091697A"/>
    <w:rsid w:val="00916E78"/>
    <w:rsid w:val="00917953"/>
    <w:rsid w:val="009205BC"/>
    <w:rsid w:val="009208F7"/>
    <w:rsid w:val="00921174"/>
    <w:rsid w:val="00922252"/>
    <w:rsid w:val="00922DEB"/>
    <w:rsid w:val="00922EBD"/>
    <w:rsid w:val="009234C3"/>
    <w:rsid w:val="00923744"/>
    <w:rsid w:val="00923C63"/>
    <w:rsid w:val="00923FE5"/>
    <w:rsid w:val="009260B1"/>
    <w:rsid w:val="00926529"/>
    <w:rsid w:val="009304D8"/>
    <w:rsid w:val="00930A0B"/>
    <w:rsid w:val="00930DFF"/>
    <w:rsid w:val="0093199C"/>
    <w:rsid w:val="009325DE"/>
    <w:rsid w:val="00932A28"/>
    <w:rsid w:val="00933AB3"/>
    <w:rsid w:val="00934FE4"/>
    <w:rsid w:val="009353A1"/>
    <w:rsid w:val="00935DD5"/>
    <w:rsid w:val="009369D0"/>
    <w:rsid w:val="00937BDF"/>
    <w:rsid w:val="00941004"/>
    <w:rsid w:val="00941714"/>
    <w:rsid w:val="0094309F"/>
    <w:rsid w:val="00943DAD"/>
    <w:rsid w:val="009446C8"/>
    <w:rsid w:val="0094481F"/>
    <w:rsid w:val="00946AFF"/>
    <w:rsid w:val="009519AE"/>
    <w:rsid w:val="00951C49"/>
    <w:rsid w:val="00952663"/>
    <w:rsid w:val="00952D98"/>
    <w:rsid w:val="009538D5"/>
    <w:rsid w:val="00954E92"/>
    <w:rsid w:val="0095502E"/>
    <w:rsid w:val="00955DCB"/>
    <w:rsid w:val="0095605B"/>
    <w:rsid w:val="00956EC0"/>
    <w:rsid w:val="00961748"/>
    <w:rsid w:val="00961854"/>
    <w:rsid w:val="00964E7D"/>
    <w:rsid w:val="00970D26"/>
    <w:rsid w:val="009717D3"/>
    <w:rsid w:val="00973186"/>
    <w:rsid w:val="00975007"/>
    <w:rsid w:val="009754AE"/>
    <w:rsid w:val="00975B3F"/>
    <w:rsid w:val="00976D12"/>
    <w:rsid w:val="009771C3"/>
    <w:rsid w:val="009772BB"/>
    <w:rsid w:val="00980DD3"/>
    <w:rsid w:val="00981530"/>
    <w:rsid w:val="00981678"/>
    <w:rsid w:val="00982823"/>
    <w:rsid w:val="00983B9D"/>
    <w:rsid w:val="00984235"/>
    <w:rsid w:val="00984357"/>
    <w:rsid w:val="0098631D"/>
    <w:rsid w:val="009864AC"/>
    <w:rsid w:val="00987281"/>
    <w:rsid w:val="009875EC"/>
    <w:rsid w:val="009940CD"/>
    <w:rsid w:val="009947CD"/>
    <w:rsid w:val="00994C0A"/>
    <w:rsid w:val="00994E77"/>
    <w:rsid w:val="009952D4"/>
    <w:rsid w:val="0099547A"/>
    <w:rsid w:val="00996677"/>
    <w:rsid w:val="00996EA4"/>
    <w:rsid w:val="009A1775"/>
    <w:rsid w:val="009A200D"/>
    <w:rsid w:val="009A4D51"/>
    <w:rsid w:val="009A5C82"/>
    <w:rsid w:val="009A6204"/>
    <w:rsid w:val="009A6606"/>
    <w:rsid w:val="009A70F1"/>
    <w:rsid w:val="009B0963"/>
    <w:rsid w:val="009B0B52"/>
    <w:rsid w:val="009B1BC6"/>
    <w:rsid w:val="009B26F0"/>
    <w:rsid w:val="009B38C4"/>
    <w:rsid w:val="009B54F6"/>
    <w:rsid w:val="009B5C15"/>
    <w:rsid w:val="009B795E"/>
    <w:rsid w:val="009C028A"/>
    <w:rsid w:val="009C1AEF"/>
    <w:rsid w:val="009C2D11"/>
    <w:rsid w:val="009C2D4B"/>
    <w:rsid w:val="009C2E0A"/>
    <w:rsid w:val="009C35A5"/>
    <w:rsid w:val="009C3989"/>
    <w:rsid w:val="009C408D"/>
    <w:rsid w:val="009C4DF2"/>
    <w:rsid w:val="009C58C9"/>
    <w:rsid w:val="009C6DF1"/>
    <w:rsid w:val="009D154D"/>
    <w:rsid w:val="009D2453"/>
    <w:rsid w:val="009D43D9"/>
    <w:rsid w:val="009D4D7C"/>
    <w:rsid w:val="009D4F90"/>
    <w:rsid w:val="009E12A1"/>
    <w:rsid w:val="009E1FC3"/>
    <w:rsid w:val="009E20B7"/>
    <w:rsid w:val="009E2AF0"/>
    <w:rsid w:val="009E4ADC"/>
    <w:rsid w:val="009E5051"/>
    <w:rsid w:val="009E5B6F"/>
    <w:rsid w:val="009E5E2A"/>
    <w:rsid w:val="009E732E"/>
    <w:rsid w:val="009F0712"/>
    <w:rsid w:val="009F0879"/>
    <w:rsid w:val="009F0CF2"/>
    <w:rsid w:val="009F1FB1"/>
    <w:rsid w:val="009F20E1"/>
    <w:rsid w:val="009F254A"/>
    <w:rsid w:val="009F2C3F"/>
    <w:rsid w:val="009F34C1"/>
    <w:rsid w:val="009F37FC"/>
    <w:rsid w:val="009F4ADE"/>
    <w:rsid w:val="009F569A"/>
    <w:rsid w:val="009F5D70"/>
    <w:rsid w:val="009F7473"/>
    <w:rsid w:val="009F798D"/>
    <w:rsid w:val="00A00203"/>
    <w:rsid w:val="00A00AD1"/>
    <w:rsid w:val="00A01D70"/>
    <w:rsid w:val="00A0356F"/>
    <w:rsid w:val="00A035A9"/>
    <w:rsid w:val="00A03945"/>
    <w:rsid w:val="00A05BA1"/>
    <w:rsid w:val="00A07DF8"/>
    <w:rsid w:val="00A07E80"/>
    <w:rsid w:val="00A10FBE"/>
    <w:rsid w:val="00A12BB0"/>
    <w:rsid w:val="00A13169"/>
    <w:rsid w:val="00A1323F"/>
    <w:rsid w:val="00A13686"/>
    <w:rsid w:val="00A1520A"/>
    <w:rsid w:val="00A1575A"/>
    <w:rsid w:val="00A15C45"/>
    <w:rsid w:val="00A15C7C"/>
    <w:rsid w:val="00A1640B"/>
    <w:rsid w:val="00A204B1"/>
    <w:rsid w:val="00A2054D"/>
    <w:rsid w:val="00A210D9"/>
    <w:rsid w:val="00A21642"/>
    <w:rsid w:val="00A221BF"/>
    <w:rsid w:val="00A224CB"/>
    <w:rsid w:val="00A22ADB"/>
    <w:rsid w:val="00A22DFD"/>
    <w:rsid w:val="00A23291"/>
    <w:rsid w:val="00A23CE2"/>
    <w:rsid w:val="00A254B1"/>
    <w:rsid w:val="00A270A8"/>
    <w:rsid w:val="00A2717B"/>
    <w:rsid w:val="00A27F64"/>
    <w:rsid w:val="00A30861"/>
    <w:rsid w:val="00A30E0C"/>
    <w:rsid w:val="00A31CC7"/>
    <w:rsid w:val="00A32141"/>
    <w:rsid w:val="00A331BD"/>
    <w:rsid w:val="00A36574"/>
    <w:rsid w:val="00A36657"/>
    <w:rsid w:val="00A36F59"/>
    <w:rsid w:val="00A376FF"/>
    <w:rsid w:val="00A379D3"/>
    <w:rsid w:val="00A40533"/>
    <w:rsid w:val="00A405D9"/>
    <w:rsid w:val="00A41B19"/>
    <w:rsid w:val="00A439E1"/>
    <w:rsid w:val="00A43D22"/>
    <w:rsid w:val="00A44603"/>
    <w:rsid w:val="00A448F3"/>
    <w:rsid w:val="00A45367"/>
    <w:rsid w:val="00A45A4B"/>
    <w:rsid w:val="00A46A86"/>
    <w:rsid w:val="00A471CD"/>
    <w:rsid w:val="00A479B5"/>
    <w:rsid w:val="00A47C5E"/>
    <w:rsid w:val="00A50E52"/>
    <w:rsid w:val="00A520DF"/>
    <w:rsid w:val="00A524FD"/>
    <w:rsid w:val="00A52EC6"/>
    <w:rsid w:val="00A53033"/>
    <w:rsid w:val="00A53E67"/>
    <w:rsid w:val="00A540F5"/>
    <w:rsid w:val="00A54379"/>
    <w:rsid w:val="00A55902"/>
    <w:rsid w:val="00A55BB4"/>
    <w:rsid w:val="00A56AC9"/>
    <w:rsid w:val="00A56BBF"/>
    <w:rsid w:val="00A570C5"/>
    <w:rsid w:val="00A5733A"/>
    <w:rsid w:val="00A573BA"/>
    <w:rsid w:val="00A605C4"/>
    <w:rsid w:val="00A60860"/>
    <w:rsid w:val="00A6128A"/>
    <w:rsid w:val="00A62C9A"/>
    <w:rsid w:val="00A62D83"/>
    <w:rsid w:val="00A64124"/>
    <w:rsid w:val="00A656A0"/>
    <w:rsid w:val="00A656A9"/>
    <w:rsid w:val="00A66304"/>
    <w:rsid w:val="00A66CA9"/>
    <w:rsid w:val="00A67F79"/>
    <w:rsid w:val="00A70026"/>
    <w:rsid w:val="00A74E3D"/>
    <w:rsid w:val="00A751F5"/>
    <w:rsid w:val="00A75B7B"/>
    <w:rsid w:val="00A76711"/>
    <w:rsid w:val="00A76D35"/>
    <w:rsid w:val="00A8013A"/>
    <w:rsid w:val="00A80FA4"/>
    <w:rsid w:val="00A8283C"/>
    <w:rsid w:val="00A84BAA"/>
    <w:rsid w:val="00A8628C"/>
    <w:rsid w:val="00A8651F"/>
    <w:rsid w:val="00A87092"/>
    <w:rsid w:val="00A87CBC"/>
    <w:rsid w:val="00A92450"/>
    <w:rsid w:val="00A926F4"/>
    <w:rsid w:val="00A92A21"/>
    <w:rsid w:val="00A92C60"/>
    <w:rsid w:val="00A93B72"/>
    <w:rsid w:val="00A943FC"/>
    <w:rsid w:val="00A96194"/>
    <w:rsid w:val="00AA1F7D"/>
    <w:rsid w:val="00AA33A5"/>
    <w:rsid w:val="00AA34BE"/>
    <w:rsid w:val="00AA4091"/>
    <w:rsid w:val="00AA5070"/>
    <w:rsid w:val="00AA52AC"/>
    <w:rsid w:val="00AB0633"/>
    <w:rsid w:val="00AB0BDF"/>
    <w:rsid w:val="00AB0C2A"/>
    <w:rsid w:val="00AB1675"/>
    <w:rsid w:val="00AB1D83"/>
    <w:rsid w:val="00AB2006"/>
    <w:rsid w:val="00AB3AFE"/>
    <w:rsid w:val="00AB582E"/>
    <w:rsid w:val="00AB6631"/>
    <w:rsid w:val="00AB7231"/>
    <w:rsid w:val="00AB7248"/>
    <w:rsid w:val="00AB74A8"/>
    <w:rsid w:val="00AB7A8B"/>
    <w:rsid w:val="00AC03B5"/>
    <w:rsid w:val="00AC06CD"/>
    <w:rsid w:val="00AC0735"/>
    <w:rsid w:val="00AC3CF9"/>
    <w:rsid w:val="00AC4186"/>
    <w:rsid w:val="00AC4BA5"/>
    <w:rsid w:val="00AC5881"/>
    <w:rsid w:val="00AC679E"/>
    <w:rsid w:val="00AC69EB"/>
    <w:rsid w:val="00AD0748"/>
    <w:rsid w:val="00AD160F"/>
    <w:rsid w:val="00AD1B92"/>
    <w:rsid w:val="00AD1EFB"/>
    <w:rsid w:val="00AD20DF"/>
    <w:rsid w:val="00AD2444"/>
    <w:rsid w:val="00AD71C4"/>
    <w:rsid w:val="00AD7DA4"/>
    <w:rsid w:val="00AD7ED0"/>
    <w:rsid w:val="00AE1F17"/>
    <w:rsid w:val="00AE2A0C"/>
    <w:rsid w:val="00AE3B1A"/>
    <w:rsid w:val="00AE44DA"/>
    <w:rsid w:val="00AE4755"/>
    <w:rsid w:val="00AE4AC0"/>
    <w:rsid w:val="00AE5206"/>
    <w:rsid w:val="00AE5766"/>
    <w:rsid w:val="00AE5D32"/>
    <w:rsid w:val="00AE5D82"/>
    <w:rsid w:val="00AF04DB"/>
    <w:rsid w:val="00AF059C"/>
    <w:rsid w:val="00AF0EF5"/>
    <w:rsid w:val="00AF2C1A"/>
    <w:rsid w:val="00AF32F9"/>
    <w:rsid w:val="00AF55E0"/>
    <w:rsid w:val="00AF63DB"/>
    <w:rsid w:val="00AF75BC"/>
    <w:rsid w:val="00AF78E3"/>
    <w:rsid w:val="00B00A2F"/>
    <w:rsid w:val="00B00E90"/>
    <w:rsid w:val="00B00FA2"/>
    <w:rsid w:val="00B013C6"/>
    <w:rsid w:val="00B01D5D"/>
    <w:rsid w:val="00B0256D"/>
    <w:rsid w:val="00B02F11"/>
    <w:rsid w:val="00B059E2"/>
    <w:rsid w:val="00B06509"/>
    <w:rsid w:val="00B06930"/>
    <w:rsid w:val="00B07B20"/>
    <w:rsid w:val="00B07E96"/>
    <w:rsid w:val="00B10380"/>
    <w:rsid w:val="00B104C1"/>
    <w:rsid w:val="00B107E8"/>
    <w:rsid w:val="00B10EA2"/>
    <w:rsid w:val="00B11797"/>
    <w:rsid w:val="00B1300F"/>
    <w:rsid w:val="00B13A2D"/>
    <w:rsid w:val="00B14175"/>
    <w:rsid w:val="00B14194"/>
    <w:rsid w:val="00B15E39"/>
    <w:rsid w:val="00B178E8"/>
    <w:rsid w:val="00B17A61"/>
    <w:rsid w:val="00B204AB"/>
    <w:rsid w:val="00B207F3"/>
    <w:rsid w:val="00B20BDD"/>
    <w:rsid w:val="00B210EE"/>
    <w:rsid w:val="00B2191B"/>
    <w:rsid w:val="00B234CC"/>
    <w:rsid w:val="00B2384E"/>
    <w:rsid w:val="00B24040"/>
    <w:rsid w:val="00B25342"/>
    <w:rsid w:val="00B26D7C"/>
    <w:rsid w:val="00B322AF"/>
    <w:rsid w:val="00B326A5"/>
    <w:rsid w:val="00B345BB"/>
    <w:rsid w:val="00B34A98"/>
    <w:rsid w:val="00B34F5C"/>
    <w:rsid w:val="00B35769"/>
    <w:rsid w:val="00B35B87"/>
    <w:rsid w:val="00B3795C"/>
    <w:rsid w:val="00B37E03"/>
    <w:rsid w:val="00B40205"/>
    <w:rsid w:val="00B41494"/>
    <w:rsid w:val="00B41A54"/>
    <w:rsid w:val="00B42207"/>
    <w:rsid w:val="00B42B2A"/>
    <w:rsid w:val="00B431F1"/>
    <w:rsid w:val="00B43BE7"/>
    <w:rsid w:val="00B44237"/>
    <w:rsid w:val="00B45B39"/>
    <w:rsid w:val="00B46311"/>
    <w:rsid w:val="00B46DDB"/>
    <w:rsid w:val="00B46F1A"/>
    <w:rsid w:val="00B50F69"/>
    <w:rsid w:val="00B5125C"/>
    <w:rsid w:val="00B512D8"/>
    <w:rsid w:val="00B51722"/>
    <w:rsid w:val="00B51FFA"/>
    <w:rsid w:val="00B520AB"/>
    <w:rsid w:val="00B52394"/>
    <w:rsid w:val="00B527CF"/>
    <w:rsid w:val="00B52D21"/>
    <w:rsid w:val="00B52E2E"/>
    <w:rsid w:val="00B533DB"/>
    <w:rsid w:val="00B5522A"/>
    <w:rsid w:val="00B554BF"/>
    <w:rsid w:val="00B55E3D"/>
    <w:rsid w:val="00B57FD3"/>
    <w:rsid w:val="00B60DE0"/>
    <w:rsid w:val="00B6160E"/>
    <w:rsid w:val="00B63F4F"/>
    <w:rsid w:val="00B64524"/>
    <w:rsid w:val="00B653DF"/>
    <w:rsid w:val="00B67644"/>
    <w:rsid w:val="00B67AE3"/>
    <w:rsid w:val="00B7175F"/>
    <w:rsid w:val="00B71796"/>
    <w:rsid w:val="00B7457C"/>
    <w:rsid w:val="00B752F7"/>
    <w:rsid w:val="00B75FBE"/>
    <w:rsid w:val="00B76978"/>
    <w:rsid w:val="00B77311"/>
    <w:rsid w:val="00B777B4"/>
    <w:rsid w:val="00B77E5F"/>
    <w:rsid w:val="00B80CBA"/>
    <w:rsid w:val="00B8242F"/>
    <w:rsid w:val="00B82ED3"/>
    <w:rsid w:val="00B83523"/>
    <w:rsid w:val="00B844FB"/>
    <w:rsid w:val="00B845BB"/>
    <w:rsid w:val="00B85E2E"/>
    <w:rsid w:val="00B873F3"/>
    <w:rsid w:val="00B87E29"/>
    <w:rsid w:val="00B90718"/>
    <w:rsid w:val="00B91776"/>
    <w:rsid w:val="00B931CA"/>
    <w:rsid w:val="00B94925"/>
    <w:rsid w:val="00B94A35"/>
    <w:rsid w:val="00B958B7"/>
    <w:rsid w:val="00B95A69"/>
    <w:rsid w:val="00B95C84"/>
    <w:rsid w:val="00B96485"/>
    <w:rsid w:val="00BA029E"/>
    <w:rsid w:val="00BA0459"/>
    <w:rsid w:val="00BA0675"/>
    <w:rsid w:val="00BA0C95"/>
    <w:rsid w:val="00BA3870"/>
    <w:rsid w:val="00BA3EDB"/>
    <w:rsid w:val="00BA3F21"/>
    <w:rsid w:val="00BA4064"/>
    <w:rsid w:val="00BA4319"/>
    <w:rsid w:val="00BA5189"/>
    <w:rsid w:val="00BA5522"/>
    <w:rsid w:val="00BA5B38"/>
    <w:rsid w:val="00BB1FAE"/>
    <w:rsid w:val="00BB37DD"/>
    <w:rsid w:val="00BB3F18"/>
    <w:rsid w:val="00BB45BC"/>
    <w:rsid w:val="00BB464D"/>
    <w:rsid w:val="00BB7BCF"/>
    <w:rsid w:val="00BC1BB2"/>
    <w:rsid w:val="00BC20CE"/>
    <w:rsid w:val="00BC335C"/>
    <w:rsid w:val="00BC3584"/>
    <w:rsid w:val="00BC3F87"/>
    <w:rsid w:val="00BC4441"/>
    <w:rsid w:val="00BC6B5B"/>
    <w:rsid w:val="00BC6BFA"/>
    <w:rsid w:val="00BC7E2B"/>
    <w:rsid w:val="00BD012A"/>
    <w:rsid w:val="00BD0544"/>
    <w:rsid w:val="00BD0CE8"/>
    <w:rsid w:val="00BD1453"/>
    <w:rsid w:val="00BD1BC6"/>
    <w:rsid w:val="00BD207E"/>
    <w:rsid w:val="00BD2272"/>
    <w:rsid w:val="00BD2E4D"/>
    <w:rsid w:val="00BD5A90"/>
    <w:rsid w:val="00BD5EB9"/>
    <w:rsid w:val="00BD6B7D"/>
    <w:rsid w:val="00BD7A16"/>
    <w:rsid w:val="00BE1530"/>
    <w:rsid w:val="00BE3509"/>
    <w:rsid w:val="00BE3FD1"/>
    <w:rsid w:val="00BE425C"/>
    <w:rsid w:val="00BE51BC"/>
    <w:rsid w:val="00BE5255"/>
    <w:rsid w:val="00BE5787"/>
    <w:rsid w:val="00BE5880"/>
    <w:rsid w:val="00BE76AE"/>
    <w:rsid w:val="00BE7BD1"/>
    <w:rsid w:val="00BF0A84"/>
    <w:rsid w:val="00BF2322"/>
    <w:rsid w:val="00BF2B94"/>
    <w:rsid w:val="00BF3E0A"/>
    <w:rsid w:val="00BF4F3A"/>
    <w:rsid w:val="00BF5263"/>
    <w:rsid w:val="00BF6C4F"/>
    <w:rsid w:val="00C00DDB"/>
    <w:rsid w:val="00C01240"/>
    <w:rsid w:val="00C01824"/>
    <w:rsid w:val="00C02E6E"/>
    <w:rsid w:val="00C03DB1"/>
    <w:rsid w:val="00C05706"/>
    <w:rsid w:val="00C05935"/>
    <w:rsid w:val="00C05D2A"/>
    <w:rsid w:val="00C066AC"/>
    <w:rsid w:val="00C06A32"/>
    <w:rsid w:val="00C06B2C"/>
    <w:rsid w:val="00C06E45"/>
    <w:rsid w:val="00C06F24"/>
    <w:rsid w:val="00C1163B"/>
    <w:rsid w:val="00C11F9A"/>
    <w:rsid w:val="00C14237"/>
    <w:rsid w:val="00C14BC1"/>
    <w:rsid w:val="00C15133"/>
    <w:rsid w:val="00C15310"/>
    <w:rsid w:val="00C16C30"/>
    <w:rsid w:val="00C174D3"/>
    <w:rsid w:val="00C224A3"/>
    <w:rsid w:val="00C238A0"/>
    <w:rsid w:val="00C23E86"/>
    <w:rsid w:val="00C24F5E"/>
    <w:rsid w:val="00C269E6"/>
    <w:rsid w:val="00C279D5"/>
    <w:rsid w:val="00C27CFD"/>
    <w:rsid w:val="00C27D2F"/>
    <w:rsid w:val="00C30292"/>
    <w:rsid w:val="00C302C7"/>
    <w:rsid w:val="00C30E90"/>
    <w:rsid w:val="00C31063"/>
    <w:rsid w:val="00C324EC"/>
    <w:rsid w:val="00C40092"/>
    <w:rsid w:val="00C408FC"/>
    <w:rsid w:val="00C44F59"/>
    <w:rsid w:val="00C46AF0"/>
    <w:rsid w:val="00C516DE"/>
    <w:rsid w:val="00C51E3C"/>
    <w:rsid w:val="00C528B1"/>
    <w:rsid w:val="00C52DA5"/>
    <w:rsid w:val="00C54273"/>
    <w:rsid w:val="00C5429D"/>
    <w:rsid w:val="00C54660"/>
    <w:rsid w:val="00C56182"/>
    <w:rsid w:val="00C56F09"/>
    <w:rsid w:val="00C57418"/>
    <w:rsid w:val="00C61822"/>
    <w:rsid w:val="00C6182D"/>
    <w:rsid w:val="00C624A3"/>
    <w:rsid w:val="00C62D3C"/>
    <w:rsid w:val="00C630CD"/>
    <w:rsid w:val="00C6670B"/>
    <w:rsid w:val="00C7058B"/>
    <w:rsid w:val="00C70B69"/>
    <w:rsid w:val="00C713FF"/>
    <w:rsid w:val="00C7178C"/>
    <w:rsid w:val="00C71848"/>
    <w:rsid w:val="00C71972"/>
    <w:rsid w:val="00C71D56"/>
    <w:rsid w:val="00C7212E"/>
    <w:rsid w:val="00C721BB"/>
    <w:rsid w:val="00C72A2E"/>
    <w:rsid w:val="00C72F7D"/>
    <w:rsid w:val="00C72FC2"/>
    <w:rsid w:val="00C73392"/>
    <w:rsid w:val="00C73899"/>
    <w:rsid w:val="00C73958"/>
    <w:rsid w:val="00C73FD3"/>
    <w:rsid w:val="00C744F2"/>
    <w:rsid w:val="00C752AF"/>
    <w:rsid w:val="00C7721D"/>
    <w:rsid w:val="00C77B16"/>
    <w:rsid w:val="00C82A69"/>
    <w:rsid w:val="00C8381E"/>
    <w:rsid w:val="00C83980"/>
    <w:rsid w:val="00C83F83"/>
    <w:rsid w:val="00C8629A"/>
    <w:rsid w:val="00C9114F"/>
    <w:rsid w:val="00C9164C"/>
    <w:rsid w:val="00C91C23"/>
    <w:rsid w:val="00C930B1"/>
    <w:rsid w:val="00C93C05"/>
    <w:rsid w:val="00C941F1"/>
    <w:rsid w:val="00C943BB"/>
    <w:rsid w:val="00C94541"/>
    <w:rsid w:val="00C951B6"/>
    <w:rsid w:val="00C9580C"/>
    <w:rsid w:val="00C958CD"/>
    <w:rsid w:val="00C96BCC"/>
    <w:rsid w:val="00CA2AA4"/>
    <w:rsid w:val="00CA2BD9"/>
    <w:rsid w:val="00CA3F2B"/>
    <w:rsid w:val="00CA4137"/>
    <w:rsid w:val="00CA4E91"/>
    <w:rsid w:val="00CA4F24"/>
    <w:rsid w:val="00CA582F"/>
    <w:rsid w:val="00CA69D3"/>
    <w:rsid w:val="00CB08DD"/>
    <w:rsid w:val="00CB28B1"/>
    <w:rsid w:val="00CB4805"/>
    <w:rsid w:val="00CB4DFE"/>
    <w:rsid w:val="00CB6C3D"/>
    <w:rsid w:val="00CB747C"/>
    <w:rsid w:val="00CC020E"/>
    <w:rsid w:val="00CC0322"/>
    <w:rsid w:val="00CC124B"/>
    <w:rsid w:val="00CC2928"/>
    <w:rsid w:val="00CC2F44"/>
    <w:rsid w:val="00CC3235"/>
    <w:rsid w:val="00CC499E"/>
    <w:rsid w:val="00CC4B98"/>
    <w:rsid w:val="00CC5C5B"/>
    <w:rsid w:val="00CC6042"/>
    <w:rsid w:val="00CC65ED"/>
    <w:rsid w:val="00CC6EC3"/>
    <w:rsid w:val="00CC757F"/>
    <w:rsid w:val="00CC7D22"/>
    <w:rsid w:val="00CD0950"/>
    <w:rsid w:val="00CD0F85"/>
    <w:rsid w:val="00CD160F"/>
    <w:rsid w:val="00CD2041"/>
    <w:rsid w:val="00CD3A50"/>
    <w:rsid w:val="00CD4BE4"/>
    <w:rsid w:val="00CD4EFB"/>
    <w:rsid w:val="00CE0772"/>
    <w:rsid w:val="00CE3DC8"/>
    <w:rsid w:val="00CE4185"/>
    <w:rsid w:val="00CE462F"/>
    <w:rsid w:val="00CE47FA"/>
    <w:rsid w:val="00CE5FD8"/>
    <w:rsid w:val="00CE640A"/>
    <w:rsid w:val="00CF0989"/>
    <w:rsid w:val="00CF18A7"/>
    <w:rsid w:val="00CF28DF"/>
    <w:rsid w:val="00CF2CCA"/>
    <w:rsid w:val="00CF3795"/>
    <w:rsid w:val="00CF48BA"/>
    <w:rsid w:val="00CF58BF"/>
    <w:rsid w:val="00CF7F36"/>
    <w:rsid w:val="00D00E2F"/>
    <w:rsid w:val="00D02951"/>
    <w:rsid w:val="00D03AA9"/>
    <w:rsid w:val="00D03D31"/>
    <w:rsid w:val="00D0432D"/>
    <w:rsid w:val="00D066DA"/>
    <w:rsid w:val="00D109F2"/>
    <w:rsid w:val="00D110B7"/>
    <w:rsid w:val="00D11A07"/>
    <w:rsid w:val="00D128D1"/>
    <w:rsid w:val="00D130D8"/>
    <w:rsid w:val="00D13545"/>
    <w:rsid w:val="00D15097"/>
    <w:rsid w:val="00D162C5"/>
    <w:rsid w:val="00D16D83"/>
    <w:rsid w:val="00D2502D"/>
    <w:rsid w:val="00D26CE6"/>
    <w:rsid w:val="00D26CF5"/>
    <w:rsid w:val="00D27DD8"/>
    <w:rsid w:val="00D31117"/>
    <w:rsid w:val="00D32563"/>
    <w:rsid w:val="00D32A40"/>
    <w:rsid w:val="00D33C24"/>
    <w:rsid w:val="00D340C4"/>
    <w:rsid w:val="00D346C1"/>
    <w:rsid w:val="00D34E59"/>
    <w:rsid w:val="00D34EC5"/>
    <w:rsid w:val="00D36F9A"/>
    <w:rsid w:val="00D3724A"/>
    <w:rsid w:val="00D37CE8"/>
    <w:rsid w:val="00D42932"/>
    <w:rsid w:val="00D4434D"/>
    <w:rsid w:val="00D44FE6"/>
    <w:rsid w:val="00D47C54"/>
    <w:rsid w:val="00D50BAF"/>
    <w:rsid w:val="00D51158"/>
    <w:rsid w:val="00D51768"/>
    <w:rsid w:val="00D51BB4"/>
    <w:rsid w:val="00D56281"/>
    <w:rsid w:val="00D56B6C"/>
    <w:rsid w:val="00D61400"/>
    <w:rsid w:val="00D61F70"/>
    <w:rsid w:val="00D61FA4"/>
    <w:rsid w:val="00D6403D"/>
    <w:rsid w:val="00D64067"/>
    <w:rsid w:val="00D650DE"/>
    <w:rsid w:val="00D678AF"/>
    <w:rsid w:val="00D67EA7"/>
    <w:rsid w:val="00D70D6B"/>
    <w:rsid w:val="00D7232C"/>
    <w:rsid w:val="00D725AD"/>
    <w:rsid w:val="00D801AB"/>
    <w:rsid w:val="00D8140E"/>
    <w:rsid w:val="00D81784"/>
    <w:rsid w:val="00D81C88"/>
    <w:rsid w:val="00D81F23"/>
    <w:rsid w:val="00D8274D"/>
    <w:rsid w:val="00D83E1D"/>
    <w:rsid w:val="00D84D33"/>
    <w:rsid w:val="00D8502D"/>
    <w:rsid w:val="00D86390"/>
    <w:rsid w:val="00D86DB5"/>
    <w:rsid w:val="00D87E03"/>
    <w:rsid w:val="00D900B1"/>
    <w:rsid w:val="00D90598"/>
    <w:rsid w:val="00D91281"/>
    <w:rsid w:val="00D9262A"/>
    <w:rsid w:val="00D92A79"/>
    <w:rsid w:val="00D92A96"/>
    <w:rsid w:val="00D92F60"/>
    <w:rsid w:val="00D95F0B"/>
    <w:rsid w:val="00DA1E33"/>
    <w:rsid w:val="00DA4A44"/>
    <w:rsid w:val="00DA64B9"/>
    <w:rsid w:val="00DA7889"/>
    <w:rsid w:val="00DA7AAD"/>
    <w:rsid w:val="00DB021A"/>
    <w:rsid w:val="00DB5660"/>
    <w:rsid w:val="00DB643D"/>
    <w:rsid w:val="00DB7E17"/>
    <w:rsid w:val="00DC0135"/>
    <w:rsid w:val="00DC0722"/>
    <w:rsid w:val="00DC1F28"/>
    <w:rsid w:val="00DC20E9"/>
    <w:rsid w:val="00DC241E"/>
    <w:rsid w:val="00DC31F2"/>
    <w:rsid w:val="00DC41FB"/>
    <w:rsid w:val="00DC4DC3"/>
    <w:rsid w:val="00DC5069"/>
    <w:rsid w:val="00DC592A"/>
    <w:rsid w:val="00DC6D25"/>
    <w:rsid w:val="00DC6D4B"/>
    <w:rsid w:val="00DD01F2"/>
    <w:rsid w:val="00DD03E5"/>
    <w:rsid w:val="00DD223B"/>
    <w:rsid w:val="00DD3A86"/>
    <w:rsid w:val="00DD6581"/>
    <w:rsid w:val="00DD70A5"/>
    <w:rsid w:val="00DD7543"/>
    <w:rsid w:val="00DD75B8"/>
    <w:rsid w:val="00DD7DDC"/>
    <w:rsid w:val="00DE041E"/>
    <w:rsid w:val="00DE0598"/>
    <w:rsid w:val="00DE0ACF"/>
    <w:rsid w:val="00DE1CFD"/>
    <w:rsid w:val="00DE1E47"/>
    <w:rsid w:val="00DE233D"/>
    <w:rsid w:val="00DE3549"/>
    <w:rsid w:val="00DE4CEB"/>
    <w:rsid w:val="00DE61A0"/>
    <w:rsid w:val="00DE7A9B"/>
    <w:rsid w:val="00DF16A0"/>
    <w:rsid w:val="00DF1A85"/>
    <w:rsid w:val="00DF33C6"/>
    <w:rsid w:val="00DF50A7"/>
    <w:rsid w:val="00DF543F"/>
    <w:rsid w:val="00DF68F5"/>
    <w:rsid w:val="00DF6BCB"/>
    <w:rsid w:val="00DF6C2B"/>
    <w:rsid w:val="00E015A7"/>
    <w:rsid w:val="00E0311B"/>
    <w:rsid w:val="00E0368D"/>
    <w:rsid w:val="00E0432C"/>
    <w:rsid w:val="00E0597F"/>
    <w:rsid w:val="00E05C3D"/>
    <w:rsid w:val="00E05DAF"/>
    <w:rsid w:val="00E067F9"/>
    <w:rsid w:val="00E06962"/>
    <w:rsid w:val="00E06FE8"/>
    <w:rsid w:val="00E105A6"/>
    <w:rsid w:val="00E11602"/>
    <w:rsid w:val="00E11BE9"/>
    <w:rsid w:val="00E12D7D"/>
    <w:rsid w:val="00E1577F"/>
    <w:rsid w:val="00E163D7"/>
    <w:rsid w:val="00E17625"/>
    <w:rsid w:val="00E17C21"/>
    <w:rsid w:val="00E20939"/>
    <w:rsid w:val="00E213B9"/>
    <w:rsid w:val="00E2188F"/>
    <w:rsid w:val="00E2259D"/>
    <w:rsid w:val="00E229D4"/>
    <w:rsid w:val="00E240F2"/>
    <w:rsid w:val="00E24BC5"/>
    <w:rsid w:val="00E24EF8"/>
    <w:rsid w:val="00E25299"/>
    <w:rsid w:val="00E2577E"/>
    <w:rsid w:val="00E25D34"/>
    <w:rsid w:val="00E26D28"/>
    <w:rsid w:val="00E27242"/>
    <w:rsid w:val="00E322D3"/>
    <w:rsid w:val="00E33C54"/>
    <w:rsid w:val="00E357EC"/>
    <w:rsid w:val="00E362F8"/>
    <w:rsid w:val="00E365D4"/>
    <w:rsid w:val="00E3692B"/>
    <w:rsid w:val="00E42AC3"/>
    <w:rsid w:val="00E42DFF"/>
    <w:rsid w:val="00E44282"/>
    <w:rsid w:val="00E4737C"/>
    <w:rsid w:val="00E47C5C"/>
    <w:rsid w:val="00E51205"/>
    <w:rsid w:val="00E5151F"/>
    <w:rsid w:val="00E5313D"/>
    <w:rsid w:val="00E539C3"/>
    <w:rsid w:val="00E5499D"/>
    <w:rsid w:val="00E559BC"/>
    <w:rsid w:val="00E565E7"/>
    <w:rsid w:val="00E575E4"/>
    <w:rsid w:val="00E57734"/>
    <w:rsid w:val="00E57C1F"/>
    <w:rsid w:val="00E60D21"/>
    <w:rsid w:val="00E60F3C"/>
    <w:rsid w:val="00E629B5"/>
    <w:rsid w:val="00E62D22"/>
    <w:rsid w:val="00E646CE"/>
    <w:rsid w:val="00E64D53"/>
    <w:rsid w:val="00E64F5A"/>
    <w:rsid w:val="00E65012"/>
    <w:rsid w:val="00E6679A"/>
    <w:rsid w:val="00E6724C"/>
    <w:rsid w:val="00E67524"/>
    <w:rsid w:val="00E67593"/>
    <w:rsid w:val="00E67B26"/>
    <w:rsid w:val="00E67BBA"/>
    <w:rsid w:val="00E709CF"/>
    <w:rsid w:val="00E715B6"/>
    <w:rsid w:val="00E73241"/>
    <w:rsid w:val="00E73E93"/>
    <w:rsid w:val="00E746CA"/>
    <w:rsid w:val="00E75569"/>
    <w:rsid w:val="00E75E49"/>
    <w:rsid w:val="00E8113C"/>
    <w:rsid w:val="00E8128B"/>
    <w:rsid w:val="00E81377"/>
    <w:rsid w:val="00E81B4B"/>
    <w:rsid w:val="00E81FA4"/>
    <w:rsid w:val="00E82B19"/>
    <w:rsid w:val="00E82BA2"/>
    <w:rsid w:val="00E834B3"/>
    <w:rsid w:val="00E844ED"/>
    <w:rsid w:val="00E84908"/>
    <w:rsid w:val="00E853E9"/>
    <w:rsid w:val="00E86037"/>
    <w:rsid w:val="00E86461"/>
    <w:rsid w:val="00E8751D"/>
    <w:rsid w:val="00E91351"/>
    <w:rsid w:val="00E92562"/>
    <w:rsid w:val="00E93A2F"/>
    <w:rsid w:val="00E93C58"/>
    <w:rsid w:val="00E93CD5"/>
    <w:rsid w:val="00E940AC"/>
    <w:rsid w:val="00E941A1"/>
    <w:rsid w:val="00E94A44"/>
    <w:rsid w:val="00E94B5A"/>
    <w:rsid w:val="00E94E39"/>
    <w:rsid w:val="00E9578A"/>
    <w:rsid w:val="00E96504"/>
    <w:rsid w:val="00E97538"/>
    <w:rsid w:val="00E97DDF"/>
    <w:rsid w:val="00E97E34"/>
    <w:rsid w:val="00E97F41"/>
    <w:rsid w:val="00EA08C3"/>
    <w:rsid w:val="00EA0D4C"/>
    <w:rsid w:val="00EA1A82"/>
    <w:rsid w:val="00EA3B07"/>
    <w:rsid w:val="00EA53B5"/>
    <w:rsid w:val="00EA5622"/>
    <w:rsid w:val="00EA5F24"/>
    <w:rsid w:val="00EA6670"/>
    <w:rsid w:val="00EA69CA"/>
    <w:rsid w:val="00EA6DA1"/>
    <w:rsid w:val="00EB2B02"/>
    <w:rsid w:val="00EB3038"/>
    <w:rsid w:val="00EB3A34"/>
    <w:rsid w:val="00EB3B03"/>
    <w:rsid w:val="00EB4463"/>
    <w:rsid w:val="00EB46AE"/>
    <w:rsid w:val="00EB6086"/>
    <w:rsid w:val="00EB6568"/>
    <w:rsid w:val="00EB73BB"/>
    <w:rsid w:val="00EB7471"/>
    <w:rsid w:val="00EB77DF"/>
    <w:rsid w:val="00EC08B7"/>
    <w:rsid w:val="00EC0F24"/>
    <w:rsid w:val="00EC0F66"/>
    <w:rsid w:val="00EC1822"/>
    <w:rsid w:val="00EC2DBF"/>
    <w:rsid w:val="00EC3307"/>
    <w:rsid w:val="00EC3A28"/>
    <w:rsid w:val="00EC4E23"/>
    <w:rsid w:val="00EC50B4"/>
    <w:rsid w:val="00EC6D88"/>
    <w:rsid w:val="00EC74E9"/>
    <w:rsid w:val="00EC7DDD"/>
    <w:rsid w:val="00ED2050"/>
    <w:rsid w:val="00ED24F2"/>
    <w:rsid w:val="00ED252D"/>
    <w:rsid w:val="00ED2DA9"/>
    <w:rsid w:val="00ED6FF3"/>
    <w:rsid w:val="00ED70AB"/>
    <w:rsid w:val="00EE0F87"/>
    <w:rsid w:val="00EE15A1"/>
    <w:rsid w:val="00EE18DA"/>
    <w:rsid w:val="00EE3741"/>
    <w:rsid w:val="00EE55D6"/>
    <w:rsid w:val="00EE5BFC"/>
    <w:rsid w:val="00EE6703"/>
    <w:rsid w:val="00EE6DF3"/>
    <w:rsid w:val="00EE78F9"/>
    <w:rsid w:val="00EF11F7"/>
    <w:rsid w:val="00EF1204"/>
    <w:rsid w:val="00EF1C41"/>
    <w:rsid w:val="00EF36C1"/>
    <w:rsid w:val="00EF394F"/>
    <w:rsid w:val="00EF4BC3"/>
    <w:rsid w:val="00EF5108"/>
    <w:rsid w:val="00EF5756"/>
    <w:rsid w:val="00EF584D"/>
    <w:rsid w:val="00F00A58"/>
    <w:rsid w:val="00F01D83"/>
    <w:rsid w:val="00F02059"/>
    <w:rsid w:val="00F0298B"/>
    <w:rsid w:val="00F02D76"/>
    <w:rsid w:val="00F05DD9"/>
    <w:rsid w:val="00F11724"/>
    <w:rsid w:val="00F119E0"/>
    <w:rsid w:val="00F1240A"/>
    <w:rsid w:val="00F12D9F"/>
    <w:rsid w:val="00F131F0"/>
    <w:rsid w:val="00F13665"/>
    <w:rsid w:val="00F14952"/>
    <w:rsid w:val="00F16019"/>
    <w:rsid w:val="00F16919"/>
    <w:rsid w:val="00F16E32"/>
    <w:rsid w:val="00F176BA"/>
    <w:rsid w:val="00F1796A"/>
    <w:rsid w:val="00F17FE2"/>
    <w:rsid w:val="00F20ABE"/>
    <w:rsid w:val="00F21904"/>
    <w:rsid w:val="00F21F83"/>
    <w:rsid w:val="00F22B4A"/>
    <w:rsid w:val="00F22BDC"/>
    <w:rsid w:val="00F2482A"/>
    <w:rsid w:val="00F24B54"/>
    <w:rsid w:val="00F25756"/>
    <w:rsid w:val="00F258D9"/>
    <w:rsid w:val="00F25A9E"/>
    <w:rsid w:val="00F260E9"/>
    <w:rsid w:val="00F26E81"/>
    <w:rsid w:val="00F270B7"/>
    <w:rsid w:val="00F27A34"/>
    <w:rsid w:val="00F3138D"/>
    <w:rsid w:val="00F31E35"/>
    <w:rsid w:val="00F3210A"/>
    <w:rsid w:val="00F33480"/>
    <w:rsid w:val="00F33779"/>
    <w:rsid w:val="00F337CB"/>
    <w:rsid w:val="00F33EB6"/>
    <w:rsid w:val="00F34DE3"/>
    <w:rsid w:val="00F37200"/>
    <w:rsid w:val="00F37459"/>
    <w:rsid w:val="00F418CC"/>
    <w:rsid w:val="00F41EA0"/>
    <w:rsid w:val="00F41FE7"/>
    <w:rsid w:val="00F423B6"/>
    <w:rsid w:val="00F44035"/>
    <w:rsid w:val="00F44559"/>
    <w:rsid w:val="00F45503"/>
    <w:rsid w:val="00F45B0B"/>
    <w:rsid w:val="00F45B33"/>
    <w:rsid w:val="00F4669B"/>
    <w:rsid w:val="00F46E9A"/>
    <w:rsid w:val="00F53936"/>
    <w:rsid w:val="00F53CD5"/>
    <w:rsid w:val="00F5414C"/>
    <w:rsid w:val="00F561F3"/>
    <w:rsid w:val="00F56339"/>
    <w:rsid w:val="00F5647A"/>
    <w:rsid w:val="00F630AD"/>
    <w:rsid w:val="00F639C6"/>
    <w:rsid w:val="00F654AB"/>
    <w:rsid w:val="00F65BF2"/>
    <w:rsid w:val="00F65DA9"/>
    <w:rsid w:val="00F71591"/>
    <w:rsid w:val="00F729D0"/>
    <w:rsid w:val="00F7359B"/>
    <w:rsid w:val="00F7559B"/>
    <w:rsid w:val="00F75EFC"/>
    <w:rsid w:val="00F7748E"/>
    <w:rsid w:val="00F77683"/>
    <w:rsid w:val="00F77A3C"/>
    <w:rsid w:val="00F77E10"/>
    <w:rsid w:val="00F8016B"/>
    <w:rsid w:val="00F80C35"/>
    <w:rsid w:val="00F80E47"/>
    <w:rsid w:val="00F80F20"/>
    <w:rsid w:val="00F813AC"/>
    <w:rsid w:val="00F83DC3"/>
    <w:rsid w:val="00F83F2A"/>
    <w:rsid w:val="00F85DF2"/>
    <w:rsid w:val="00F86926"/>
    <w:rsid w:val="00F86ED3"/>
    <w:rsid w:val="00F87760"/>
    <w:rsid w:val="00F91611"/>
    <w:rsid w:val="00F91978"/>
    <w:rsid w:val="00F923E1"/>
    <w:rsid w:val="00F93C23"/>
    <w:rsid w:val="00F94119"/>
    <w:rsid w:val="00F95AF0"/>
    <w:rsid w:val="00F9676F"/>
    <w:rsid w:val="00FA1602"/>
    <w:rsid w:val="00FA3244"/>
    <w:rsid w:val="00FA346D"/>
    <w:rsid w:val="00FA5BE6"/>
    <w:rsid w:val="00FA6D2F"/>
    <w:rsid w:val="00FA787E"/>
    <w:rsid w:val="00FA7FED"/>
    <w:rsid w:val="00FB3FFF"/>
    <w:rsid w:val="00FB5062"/>
    <w:rsid w:val="00FB5BB1"/>
    <w:rsid w:val="00FB67EC"/>
    <w:rsid w:val="00FB6B61"/>
    <w:rsid w:val="00FB6C90"/>
    <w:rsid w:val="00FB7BD1"/>
    <w:rsid w:val="00FC0421"/>
    <w:rsid w:val="00FC30E9"/>
    <w:rsid w:val="00FC3240"/>
    <w:rsid w:val="00FC42A0"/>
    <w:rsid w:val="00FC623F"/>
    <w:rsid w:val="00FC76E9"/>
    <w:rsid w:val="00FC79D1"/>
    <w:rsid w:val="00FC7A4B"/>
    <w:rsid w:val="00FC7F67"/>
    <w:rsid w:val="00FD21E7"/>
    <w:rsid w:val="00FD4563"/>
    <w:rsid w:val="00FD5194"/>
    <w:rsid w:val="00FD5622"/>
    <w:rsid w:val="00FD5F19"/>
    <w:rsid w:val="00FD7469"/>
    <w:rsid w:val="00FE0A68"/>
    <w:rsid w:val="00FE1B68"/>
    <w:rsid w:val="00FE2DD2"/>
    <w:rsid w:val="00FE303D"/>
    <w:rsid w:val="00FE334E"/>
    <w:rsid w:val="00FE36D7"/>
    <w:rsid w:val="00FE3976"/>
    <w:rsid w:val="00FE3E7C"/>
    <w:rsid w:val="00FE4208"/>
    <w:rsid w:val="00FE44A8"/>
    <w:rsid w:val="00FE4BA1"/>
    <w:rsid w:val="00FE4C4C"/>
    <w:rsid w:val="00FE594F"/>
    <w:rsid w:val="00FE59C6"/>
    <w:rsid w:val="00FE61EF"/>
    <w:rsid w:val="00FE70F6"/>
    <w:rsid w:val="00FF2EDB"/>
    <w:rsid w:val="00FF467F"/>
    <w:rsid w:val="00FF5036"/>
    <w:rsid w:val="00FF5BEC"/>
    <w:rsid w:val="00FF6904"/>
    <w:rsid w:val="00FF6E4B"/>
    <w:rsid w:val="00FF6F2D"/>
    <w:rsid w:val="02310237"/>
    <w:rsid w:val="0351DC2B"/>
    <w:rsid w:val="0827DA7C"/>
    <w:rsid w:val="088D18CC"/>
    <w:rsid w:val="091DC511"/>
    <w:rsid w:val="0E132584"/>
    <w:rsid w:val="0E48DFC6"/>
    <w:rsid w:val="0E971C00"/>
    <w:rsid w:val="145726E3"/>
    <w:rsid w:val="16A78E3D"/>
    <w:rsid w:val="17C875F0"/>
    <w:rsid w:val="1C50399E"/>
    <w:rsid w:val="1DFC271D"/>
    <w:rsid w:val="2277B845"/>
    <w:rsid w:val="295447B1"/>
    <w:rsid w:val="2B7A87FB"/>
    <w:rsid w:val="2BB1059F"/>
    <w:rsid w:val="2EA518FC"/>
    <w:rsid w:val="2F36ABF3"/>
    <w:rsid w:val="31BA2550"/>
    <w:rsid w:val="31D0A122"/>
    <w:rsid w:val="31DC87BC"/>
    <w:rsid w:val="328BB650"/>
    <w:rsid w:val="3734431B"/>
    <w:rsid w:val="3B3F67D3"/>
    <w:rsid w:val="3C2727B2"/>
    <w:rsid w:val="3FA059EF"/>
    <w:rsid w:val="4052E211"/>
    <w:rsid w:val="413C2A50"/>
    <w:rsid w:val="448C18C6"/>
    <w:rsid w:val="44B785F1"/>
    <w:rsid w:val="4BF262BE"/>
    <w:rsid w:val="4CB80AB5"/>
    <w:rsid w:val="4D8B722E"/>
    <w:rsid w:val="4F00E982"/>
    <w:rsid w:val="50613B1E"/>
    <w:rsid w:val="506905DB"/>
    <w:rsid w:val="52F60C01"/>
    <w:rsid w:val="53AB03FE"/>
    <w:rsid w:val="55F21CBA"/>
    <w:rsid w:val="58305CE1"/>
    <w:rsid w:val="594D8366"/>
    <w:rsid w:val="5AEA82B7"/>
    <w:rsid w:val="5BB0323C"/>
    <w:rsid w:val="5BB73AF8"/>
    <w:rsid w:val="5C1785D5"/>
    <w:rsid w:val="5D1D06CB"/>
    <w:rsid w:val="5E222379"/>
    <w:rsid w:val="5F5962A5"/>
    <w:rsid w:val="61434869"/>
    <w:rsid w:val="6229D2E0"/>
    <w:rsid w:val="62F5949C"/>
    <w:rsid w:val="63BD4E1C"/>
    <w:rsid w:val="6490B9F2"/>
    <w:rsid w:val="65591E7D"/>
    <w:rsid w:val="65E98068"/>
    <w:rsid w:val="662D355E"/>
    <w:rsid w:val="6AAF627F"/>
    <w:rsid w:val="6AC7B406"/>
    <w:rsid w:val="6F116A1C"/>
    <w:rsid w:val="70AEB23A"/>
    <w:rsid w:val="7AA46DD0"/>
    <w:rsid w:val="7B133666"/>
    <w:rsid w:val="7B1D4E00"/>
    <w:rsid w:val="7B4761BD"/>
    <w:rsid w:val="7C8FF5B0"/>
    <w:rsid w:val="7D4E99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0449A"/>
  <w15:docId w15:val="{CF798419-86A1-41BA-B99A-AD7F83A0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DD"/>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link w:val="Heading1Char"/>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0"/>
    </w:pPr>
    <w:rPr>
      <w:b/>
      <w:lang w:val="en-US"/>
    </w:rPr>
  </w:style>
  <w:style w:type="paragraph" w:styleId="Heading2">
    <w:name w:val="heading 2"/>
    <w:basedOn w:val="Normal"/>
    <w:next w:val="Normal"/>
    <w:qFormat/>
    <w:pPr>
      <w:keepNext/>
      <w:widowControl w:val="0"/>
      <w:tabs>
        <w:tab w:val="left" w:pos="567"/>
        <w:tab w:val="left" w:pos="851"/>
        <w:tab w:val="left" w:pos="1134"/>
        <w:tab w:val="left" w:pos="1418"/>
        <w:tab w:val="left" w:pos="1701"/>
        <w:tab w:val="right" w:pos="9639"/>
      </w:tabs>
      <w:spacing w:before="40" w:after="40"/>
      <w:jc w:val="center"/>
      <w:outlineLvl w:val="1"/>
    </w:pPr>
    <w:rPr>
      <w:b/>
      <w:snapToGrid w:val="0"/>
    </w:rPr>
  </w:style>
  <w:style w:type="paragraph" w:styleId="Heading3">
    <w:name w:val="heading 3"/>
    <w:basedOn w:val="Normal"/>
    <w:next w:val="Normal"/>
    <w:qFormat/>
    <w:pPr>
      <w:keepNext/>
      <w:widowControl w:val="0"/>
      <w:spacing w:before="40" w:after="40"/>
      <w:jc w:val="left"/>
      <w:outlineLvl w:val="2"/>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82CE3"/>
    <w:pPr>
      <w:spacing w:before="100" w:after="0"/>
    </w:pPr>
    <w:rPr>
      <w:i/>
      <w:kern w:val="16"/>
      <w:sz w:val="16"/>
      <w:szCs w:val="16"/>
    </w:rPr>
  </w:style>
  <w:style w:type="character" w:styleId="FootnoteReference">
    <w:name w:val="footnote reference"/>
    <w:basedOn w:val="DefaultParagraphFont"/>
    <w:semiHidden/>
    <w:rsid w:val="00635493"/>
    <w:rPr>
      <w:vertAlign w:val="superscript"/>
    </w:rPr>
  </w:style>
  <w:style w:type="character" w:customStyle="1" w:styleId="Hd6Char">
    <w:name w:val="Hd6 Char"/>
    <w:basedOn w:val="DefaultParagraphFont"/>
    <w:link w:val="Hd6"/>
    <w:rsid w:val="00CC5C5B"/>
    <w:rPr>
      <w:rFonts w:ascii="Univers" w:hAnsi="Univers"/>
      <w:color w:val="000000"/>
      <w:spacing w:val="-2"/>
      <w:kern w:val="20"/>
      <w:u w:val="single"/>
      <w:lang w:val="en-GB" w:eastAsia="en-US" w:bidi="ar-SA"/>
    </w:rPr>
  </w:style>
  <w:style w:type="paragraph" w:customStyle="1" w:styleId="Hd6">
    <w:name w:val="Hd6"/>
    <w:basedOn w:val="Normal"/>
    <w:next w:val="Normal"/>
    <w:link w:val="Hd6Char"/>
    <w:pPr>
      <w:keepNext/>
      <w:keepLines/>
      <w:widowControl w:val="0"/>
      <w:suppressAutoHyphens/>
      <w:jc w:val="center"/>
    </w:pPr>
    <w:rPr>
      <w:rFonts w:ascii="Univers" w:hAnsi="Univers"/>
      <w:u w:val="single"/>
    </w:rPr>
  </w:style>
  <w:style w:type="paragraph" w:customStyle="1" w:styleId="Hd0">
    <w:name w:val="Hd0"/>
    <w:basedOn w:val="Normal"/>
    <w:next w:val="Normal"/>
    <w:rsid w:val="00B210EE"/>
    <w:pPr>
      <w:keepNext/>
      <w:keepLines/>
      <w:widowControl w:val="0"/>
      <w:suppressAutoHyphens/>
      <w:jc w:val="left"/>
    </w:pPr>
    <w:rPr>
      <w:u w:val="single" w:color="000000"/>
    </w:rPr>
  </w:style>
  <w:style w:type="paragraph" w:customStyle="1" w:styleId="Hd1">
    <w:name w:val="Hd1"/>
    <w:basedOn w:val="Hd0"/>
    <w:next w:val="Normal"/>
    <w:rsid w:val="005D28CE"/>
    <w:pPr>
      <w:ind w:left="397"/>
    </w:pPr>
  </w:style>
  <w:style w:type="paragraph" w:customStyle="1" w:styleId="Hd2">
    <w:name w:val="Hd2"/>
    <w:basedOn w:val="Hd0"/>
    <w:next w:val="Normal"/>
    <w:rsid w:val="005D28CE"/>
    <w:pPr>
      <w:ind w:left="794"/>
    </w:pPr>
  </w:style>
  <w:style w:type="paragraph" w:customStyle="1" w:styleId="Hd3">
    <w:name w:val="Hd3"/>
    <w:basedOn w:val="Hd0"/>
    <w:next w:val="Normal"/>
    <w:rsid w:val="005D28CE"/>
    <w:pPr>
      <w:ind w:left="1191"/>
    </w:pPr>
  </w:style>
  <w:style w:type="paragraph" w:customStyle="1" w:styleId="Hd4">
    <w:name w:val="Hd4"/>
    <w:basedOn w:val="Hd0"/>
    <w:next w:val="Normal"/>
    <w:rsid w:val="005D28CE"/>
    <w:pPr>
      <w:ind w:left="1588"/>
    </w:pPr>
  </w:style>
  <w:style w:type="paragraph" w:customStyle="1" w:styleId="Hd5">
    <w:name w:val="Hd5"/>
    <w:basedOn w:val="Hd0"/>
    <w:next w:val="Normal"/>
    <w:rsid w:val="005D28CE"/>
    <w:pPr>
      <w:ind w:left="1985"/>
    </w:pPr>
  </w:style>
  <w:style w:type="paragraph" w:styleId="Footer">
    <w:name w:val="footer"/>
    <w:basedOn w:val="Normal"/>
    <w:next w:val="Normal"/>
    <w:rsid w:val="00011797"/>
    <w:pPr>
      <w:tabs>
        <w:tab w:val="clear" w:pos="397"/>
        <w:tab w:val="clear" w:pos="794"/>
        <w:tab w:val="clear" w:pos="1191"/>
        <w:tab w:val="clear" w:pos="1588"/>
        <w:tab w:val="clear" w:pos="1985"/>
      </w:tabs>
      <w:spacing w:after="0"/>
      <w:jc w:val="center"/>
    </w:pPr>
  </w:style>
  <w:style w:type="paragraph" w:styleId="Header">
    <w:name w:val="header"/>
    <w:basedOn w:val="Normal"/>
    <w:next w:val="Normal"/>
    <w:rsid w:val="00A751F5"/>
    <w:pPr>
      <w:tabs>
        <w:tab w:val="clear" w:pos="397"/>
        <w:tab w:val="clear" w:pos="794"/>
        <w:tab w:val="clear" w:pos="1191"/>
        <w:tab w:val="clear" w:pos="1588"/>
        <w:tab w:val="clear" w:pos="1985"/>
      </w:tabs>
      <w:spacing w:after="0"/>
      <w:jc w:val="center"/>
    </w:pPr>
  </w:style>
  <w:style w:type="character" w:styleId="PageNumber">
    <w:name w:val="page number"/>
    <w:basedOn w:val="DefaultParagraphFont"/>
    <w:rsid w:val="00011797"/>
    <w:rPr>
      <w:rFonts w:ascii="Univers" w:hAnsi="Univers"/>
      <w:color w:val="000000"/>
      <w:spacing w:val="-2"/>
      <w:w w:val="100"/>
      <w:kern w:val="20"/>
      <w:position w:val="0"/>
      <w:sz w:val="20"/>
      <w:szCs w:val="20"/>
      <w:u w:val="none"/>
    </w:rPr>
  </w:style>
  <w:style w:type="paragraph" w:customStyle="1" w:styleId="Hd7">
    <w:name w:val="Hd7"/>
    <w:basedOn w:val="Normal"/>
    <w:next w:val="Normal"/>
    <w:rsid w:val="005D28CE"/>
    <w:pPr>
      <w:keepNext/>
      <w:keepLines/>
      <w:widowControl w:val="0"/>
      <w:suppressAutoHyphens/>
      <w:jc w:val="center"/>
    </w:pPr>
    <w:rPr>
      <w:rFonts w:ascii="Univers" w:hAnsi="Univers"/>
      <w:caps/>
    </w:rPr>
  </w:style>
  <w:style w:type="paragraph" w:customStyle="1" w:styleId="Title-end">
    <w:name w:val="Title-end"/>
    <w:basedOn w:val="Normal"/>
    <w:next w:val="Normal"/>
    <w:link w:val="Title-endChar"/>
    <w:rsid w:val="00B554BF"/>
    <w:pPr>
      <w:keepNext/>
      <w:keepLines/>
      <w:widowControl w:val="0"/>
      <w:suppressAutoHyphens/>
      <w:spacing w:after="480"/>
      <w:jc w:val="center"/>
      <w:outlineLvl w:val="1"/>
    </w:pPr>
    <w:rPr>
      <w:caps/>
    </w:rPr>
  </w:style>
  <w:style w:type="paragraph" w:customStyle="1" w:styleId="Title-start">
    <w:name w:val="Title-start"/>
    <w:basedOn w:val="Normal"/>
    <w:next w:val="Title-end"/>
    <w:rsid w:val="00294894"/>
    <w:pPr>
      <w:keepNext/>
      <w:keepLines/>
      <w:widowControl w:val="0"/>
      <w:suppressAutoHyphens/>
      <w:jc w:val="center"/>
      <w:outlineLvl w:val="0"/>
    </w:pPr>
    <w:rPr>
      <w:u w:val="single" w:color="000000"/>
    </w:rPr>
  </w:style>
  <w:style w:type="paragraph" w:styleId="BalloonText">
    <w:name w:val="Balloon Text"/>
    <w:basedOn w:val="Normal"/>
    <w:semiHidden/>
    <w:rPr>
      <w:rFonts w:ascii="Tahoma" w:hAnsi="Tahoma" w:cs="Tahoma"/>
      <w:sz w:val="16"/>
      <w:szCs w:val="16"/>
    </w:rPr>
  </w:style>
  <w:style w:type="paragraph" w:customStyle="1" w:styleId="No">
    <w:name w:val="No"/>
    <w:basedOn w:val="Normal"/>
    <w:next w:val="Normal"/>
    <w:rsid w:val="00913322"/>
    <w:pPr>
      <w:tabs>
        <w:tab w:val="clear" w:pos="397"/>
        <w:tab w:val="clear" w:pos="794"/>
        <w:tab w:val="clear" w:pos="1191"/>
        <w:tab w:val="clear" w:pos="1588"/>
        <w:tab w:val="clear" w:pos="1985"/>
      </w:tabs>
      <w:spacing w:after="480"/>
      <w:jc w:val="right"/>
    </w:pPr>
  </w:style>
  <w:style w:type="paragraph" w:customStyle="1" w:styleId="Venue">
    <w:name w:val="Venue"/>
    <w:basedOn w:val="Normal"/>
    <w:next w:val="Normal"/>
    <w:rsid w:val="00913322"/>
    <w:pPr>
      <w:tabs>
        <w:tab w:val="clear" w:pos="397"/>
        <w:tab w:val="clear" w:pos="794"/>
        <w:tab w:val="clear" w:pos="1191"/>
        <w:tab w:val="clear" w:pos="1588"/>
        <w:tab w:val="clear" w:pos="1985"/>
      </w:tabs>
      <w:spacing w:after="480"/>
      <w:jc w:val="center"/>
    </w:pPr>
  </w:style>
  <w:style w:type="paragraph" w:customStyle="1" w:styleId="hg1">
    <w:name w:val="hg1"/>
    <w:basedOn w:val="Normal"/>
    <w:next w:val="Normal"/>
    <w:rsid w:val="006664C2"/>
    <w:pPr>
      <w:ind w:left="397" w:hanging="397"/>
    </w:pPr>
  </w:style>
  <w:style w:type="paragraph" w:customStyle="1" w:styleId="hg2">
    <w:name w:val="hg2"/>
    <w:basedOn w:val="Normal"/>
    <w:next w:val="Normal"/>
    <w:rsid w:val="006664C2"/>
    <w:pPr>
      <w:ind w:left="794" w:hanging="794"/>
    </w:pPr>
  </w:style>
  <w:style w:type="paragraph" w:customStyle="1" w:styleId="hg3">
    <w:name w:val="hg3"/>
    <w:basedOn w:val="Normal"/>
    <w:next w:val="Normal"/>
    <w:rsid w:val="006664C2"/>
    <w:pPr>
      <w:ind w:left="1191" w:hanging="1191"/>
    </w:pPr>
  </w:style>
  <w:style w:type="paragraph" w:customStyle="1" w:styleId="hg4">
    <w:name w:val="hg4"/>
    <w:basedOn w:val="Normal"/>
    <w:next w:val="Normal"/>
    <w:rsid w:val="006664C2"/>
    <w:pPr>
      <w:ind w:left="1588" w:hanging="1588"/>
    </w:pPr>
  </w:style>
  <w:style w:type="paragraph" w:customStyle="1" w:styleId="hg5">
    <w:name w:val="hg5"/>
    <w:basedOn w:val="Normal"/>
    <w:next w:val="Normal"/>
    <w:rsid w:val="006664C2"/>
    <w:pPr>
      <w:ind w:left="1985" w:hanging="1985"/>
    </w:pPr>
  </w:style>
  <w:style w:type="character" w:customStyle="1" w:styleId="Strike">
    <w:name w:val="Strike"/>
    <w:basedOn w:val="DefaultParagraphFont"/>
    <w:rsid w:val="00DE1CFD"/>
    <w:rPr>
      <w:strike/>
      <w:dstrike w:val="0"/>
      <w:color w:val="000000"/>
    </w:rPr>
  </w:style>
  <w:style w:type="character" w:customStyle="1" w:styleId="Title-endChar">
    <w:name w:val="Title-end Char"/>
    <w:basedOn w:val="DefaultParagraphFont"/>
    <w:link w:val="Title-end"/>
    <w:rsid w:val="00B554BF"/>
    <w:rPr>
      <w:rFonts w:ascii="Arial" w:hAnsi="Arial"/>
      <w:caps/>
      <w:color w:val="000000"/>
      <w:spacing w:val="-2"/>
      <w:kern w:val="20"/>
      <w:lang w:eastAsia="en-US"/>
    </w:rPr>
  </w:style>
  <w:style w:type="paragraph" w:styleId="ListParagraph">
    <w:name w:val="List Paragraph"/>
    <w:basedOn w:val="Normal"/>
    <w:uiPriority w:val="34"/>
    <w:qFormat/>
    <w:rsid w:val="00E362F8"/>
    <w:pPr>
      <w:tabs>
        <w:tab w:val="clear" w:pos="397"/>
        <w:tab w:val="clear" w:pos="794"/>
        <w:tab w:val="clear" w:pos="1191"/>
        <w:tab w:val="clear" w:pos="1588"/>
        <w:tab w:val="clear" w:pos="1985"/>
      </w:tabs>
      <w:spacing w:after="0"/>
      <w:ind w:left="720"/>
      <w:contextualSpacing/>
      <w:jc w:val="left"/>
    </w:pPr>
    <w:rPr>
      <w:rFonts w:asciiTheme="minorHAnsi" w:eastAsiaTheme="minorEastAsia" w:hAnsiTheme="minorHAnsi" w:cstheme="minorBidi"/>
      <w:color w:val="auto"/>
      <w:spacing w:val="0"/>
      <w:kern w:val="0"/>
      <w:sz w:val="24"/>
      <w:szCs w:val="24"/>
      <w:lang w:val="en-US"/>
    </w:rPr>
  </w:style>
  <w:style w:type="character" w:styleId="Hyperlink">
    <w:name w:val="Hyperlink"/>
    <w:basedOn w:val="DefaultParagraphFont"/>
    <w:uiPriority w:val="99"/>
    <w:unhideWhenUsed/>
    <w:rsid w:val="00E362F8"/>
    <w:rPr>
      <w:color w:val="0000FF" w:themeColor="hyperlink"/>
      <w:u w:val="single"/>
    </w:rPr>
  </w:style>
  <w:style w:type="character" w:customStyle="1" w:styleId="FootnoteTextChar">
    <w:name w:val="Footnote Text Char"/>
    <w:basedOn w:val="DefaultParagraphFont"/>
    <w:link w:val="FootnoteText"/>
    <w:semiHidden/>
    <w:rsid w:val="00E362F8"/>
    <w:rPr>
      <w:rFonts w:ascii="Arial" w:hAnsi="Arial"/>
      <w:i/>
      <w:color w:val="000000"/>
      <w:spacing w:val="-2"/>
      <w:kern w:val="16"/>
      <w:sz w:val="16"/>
      <w:szCs w:val="16"/>
      <w:lang w:eastAsia="en-US"/>
    </w:rPr>
  </w:style>
  <w:style w:type="character" w:styleId="CommentReference">
    <w:name w:val="annotation reference"/>
    <w:basedOn w:val="DefaultParagraphFont"/>
    <w:uiPriority w:val="99"/>
    <w:semiHidden/>
    <w:unhideWhenUsed/>
    <w:rsid w:val="00F21F83"/>
    <w:rPr>
      <w:sz w:val="16"/>
      <w:szCs w:val="16"/>
    </w:rPr>
  </w:style>
  <w:style w:type="paragraph" w:styleId="CommentText">
    <w:name w:val="annotation text"/>
    <w:basedOn w:val="Normal"/>
    <w:link w:val="CommentTextChar"/>
    <w:uiPriority w:val="99"/>
    <w:unhideWhenUsed/>
    <w:rsid w:val="00F21F83"/>
  </w:style>
  <w:style w:type="character" w:customStyle="1" w:styleId="CommentTextChar">
    <w:name w:val="Comment Text Char"/>
    <w:basedOn w:val="DefaultParagraphFont"/>
    <w:link w:val="CommentText"/>
    <w:uiPriority w:val="99"/>
    <w:rsid w:val="00F21F83"/>
    <w:rPr>
      <w:rFonts w:ascii="Arial" w:hAnsi="Arial"/>
      <w:color w:val="000000"/>
      <w:spacing w:val="-2"/>
      <w:kern w:val="20"/>
      <w:lang w:eastAsia="en-US"/>
    </w:rPr>
  </w:style>
  <w:style w:type="paragraph" w:styleId="CommentSubject">
    <w:name w:val="annotation subject"/>
    <w:basedOn w:val="CommentText"/>
    <w:next w:val="CommentText"/>
    <w:link w:val="CommentSubjectChar"/>
    <w:uiPriority w:val="99"/>
    <w:semiHidden/>
    <w:unhideWhenUsed/>
    <w:rsid w:val="00F21F83"/>
    <w:rPr>
      <w:b/>
      <w:bCs/>
    </w:rPr>
  </w:style>
  <w:style w:type="character" w:customStyle="1" w:styleId="CommentSubjectChar">
    <w:name w:val="Comment Subject Char"/>
    <w:basedOn w:val="CommentTextChar"/>
    <w:link w:val="CommentSubject"/>
    <w:uiPriority w:val="99"/>
    <w:semiHidden/>
    <w:rsid w:val="00F21F83"/>
    <w:rPr>
      <w:rFonts w:ascii="Arial" w:hAnsi="Arial"/>
      <w:b/>
      <w:bCs/>
      <w:color w:val="000000"/>
      <w:spacing w:val="-2"/>
      <w:kern w:val="20"/>
      <w:lang w:eastAsia="en-US"/>
    </w:rPr>
  </w:style>
  <w:style w:type="paragraph" w:styleId="Revision">
    <w:name w:val="Revision"/>
    <w:hidden/>
    <w:uiPriority w:val="99"/>
    <w:semiHidden/>
    <w:rsid w:val="00CD0F85"/>
    <w:rPr>
      <w:rFonts w:ascii="Arial" w:hAnsi="Arial"/>
      <w:color w:val="000000"/>
      <w:spacing w:val="-2"/>
      <w:kern w:val="20"/>
      <w:lang w:eastAsia="en-US"/>
    </w:rPr>
  </w:style>
  <w:style w:type="character" w:customStyle="1" w:styleId="ui-provider">
    <w:name w:val="ui-provider"/>
    <w:basedOn w:val="DefaultParagraphFont"/>
    <w:rsid w:val="001F445C"/>
  </w:style>
  <w:style w:type="paragraph" w:customStyle="1" w:styleId="Default">
    <w:name w:val="Default"/>
    <w:rsid w:val="00314362"/>
    <w:pPr>
      <w:widowControl w:val="0"/>
      <w:autoSpaceDE w:val="0"/>
      <w:autoSpaceDN w:val="0"/>
      <w:adjustRightInd w:val="0"/>
    </w:pPr>
    <w:rPr>
      <w:rFonts w:ascii="Arial" w:eastAsiaTheme="minorEastAsia" w:hAnsi="Arial" w:cs="Arial"/>
      <w:color w:val="000000"/>
      <w:sz w:val="24"/>
      <w:szCs w:val="24"/>
      <w:lang w:val="en-US"/>
    </w:rPr>
  </w:style>
  <w:style w:type="table" w:styleId="TableGrid">
    <w:name w:val="Table Grid"/>
    <w:basedOn w:val="TableNormal"/>
    <w:uiPriority w:val="59"/>
    <w:rsid w:val="00626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8A"/>
    <w:rPr>
      <w:rFonts w:ascii="Arial" w:hAnsi="Arial"/>
      <w:b/>
      <w:color w:val="000000"/>
      <w:spacing w:val="-2"/>
      <w:kern w:val="20"/>
      <w:lang w:val="en-US" w:eastAsia="en-US"/>
    </w:rPr>
  </w:style>
  <w:style w:type="table" w:customStyle="1" w:styleId="TableGrid1">
    <w:name w:val="Table Grid1"/>
    <w:rsid w:val="007A638A"/>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table" w:customStyle="1" w:styleId="TableGrid2">
    <w:name w:val="Table Grid2"/>
    <w:basedOn w:val="TableNormal"/>
    <w:next w:val="TableGrid"/>
    <w:uiPriority w:val="39"/>
    <w:rsid w:val="0085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FA787E"/>
    <w:rPr>
      <w:color w:val="605E5C"/>
      <w:shd w:val="clear" w:color="auto" w:fill="E1DFDD"/>
    </w:rPr>
  </w:style>
  <w:style w:type="character" w:styleId="FollowedHyperlink">
    <w:name w:val="FollowedHyperlink"/>
    <w:basedOn w:val="DefaultParagraphFont"/>
    <w:uiPriority w:val="99"/>
    <w:semiHidden/>
    <w:unhideWhenUsed/>
    <w:rsid w:val="00E82B19"/>
    <w:rPr>
      <w:color w:val="800080" w:themeColor="followedHyperlink"/>
      <w:u w:val="single"/>
    </w:rPr>
  </w:style>
  <w:style w:type="character" w:styleId="UnresolvedMention">
    <w:name w:val="Unresolved Mention"/>
    <w:basedOn w:val="DefaultParagraphFont"/>
    <w:uiPriority w:val="99"/>
    <w:semiHidden/>
    <w:unhideWhenUsed/>
    <w:rsid w:val="00CC757F"/>
    <w:rPr>
      <w:color w:val="605E5C"/>
      <w:shd w:val="clear" w:color="auto" w:fill="E1DFDD"/>
    </w:rPr>
  </w:style>
  <w:style w:type="character" w:customStyle="1" w:styleId="cf01">
    <w:name w:val="cf01"/>
    <w:basedOn w:val="DefaultParagraphFont"/>
    <w:rsid w:val="001A47D6"/>
    <w:rPr>
      <w:rFonts w:ascii="Segoe UI" w:hAnsi="Segoe UI" w:cs="Segoe UI" w:hint="default"/>
      <w:sz w:val="18"/>
      <w:szCs w:val="18"/>
    </w:rPr>
  </w:style>
  <w:style w:type="character" w:customStyle="1" w:styleId="cf11">
    <w:name w:val="cf11"/>
    <w:basedOn w:val="DefaultParagraphFont"/>
    <w:rsid w:val="00C733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eng/com/pc/25/Documents/E-PC25-12.pdf" TargetMode="External"/><Relationship Id="rId18" Type="http://schemas.openxmlformats.org/officeDocument/2006/relationships/hyperlink" Target="https://cites.org/sites/default/files/notifications/E-Notif-2022-045.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ites.org/eng/topics/flora/cites-and-forests/cites-fao-project-on-improved-forest-governance-in-the-lower-mekong-region-lmr" TargetMode="External"/><Relationship Id="rId7" Type="http://schemas.openxmlformats.org/officeDocument/2006/relationships/settings" Target="settings.xml"/><Relationship Id="rId12" Type="http://schemas.openxmlformats.org/officeDocument/2006/relationships/hyperlink" Target="https://cites.org/sites/default/files/fra/com/pc/25/Documents/F-PC25-12.pdf" TargetMode="External"/><Relationship Id="rId17" Type="http://schemas.openxmlformats.org/officeDocument/2006/relationships/hyperlink" Target="https://cites.org/sites/default/files/notifications/F-Notif-2022-04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tes.org/eng/resources/ref/suspend.php" TargetMode="External"/><Relationship Id="rId20" Type="http://schemas.openxmlformats.org/officeDocument/2006/relationships/hyperlink" Target="https://cites.org/eng/topics/flora/cites-and-forests/cites-fao-project-on-improved-forest-governance-in-the-lower-mekong-region-lm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eng/com/pc/25/Documents/E-PC25-12.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s.org/eng/resources/ref/suspend.php" TargetMode="External"/><Relationship Id="rId23" Type="http://schemas.openxmlformats.org/officeDocument/2006/relationships/hyperlink" Target="https://cites.org/eng/topics/flora/cites-and-forests/cites-fao-project-on-improved-forest-governance-in-the-lower-mekong-region-lmr" TargetMode="External"/><Relationship Id="rId10" Type="http://schemas.openxmlformats.org/officeDocument/2006/relationships/endnotes" Target="endnotes.xml"/><Relationship Id="rId19" Type="http://schemas.openxmlformats.org/officeDocument/2006/relationships/hyperlink" Target="https://cites.org/eng/topics/flora/cites-and-forests/cites-fao-project-on-improved-forest-governance-in-the-lower-mekong-region-lm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eng/resources/ref/suspend.php" TargetMode="External"/><Relationship Id="rId22" Type="http://schemas.openxmlformats.org/officeDocument/2006/relationships/hyperlink" Target="https://cites.org/eng/topics/flora/cites-and-forests/cites-fao-project-on-improved-forest-governance-in-the-lower-mekong-region-lm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Working%20folders\A%20C\31%20-%2013-17.07.20\Templates\E-AC3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SharedWithUsers xmlns="009fae64-a0e6-4869-b94e-2533145ac23d">
      <UserInfo>
        <DisplayName>Helene Gandois</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49A1E-000D-4EEA-9D6B-979FF126E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297DD-75A7-4717-AE99-681ED554B1A6}">
  <ds:schemaRefs>
    <ds:schemaRef ds:uri="http://schemas.openxmlformats.org/officeDocument/2006/bibliography"/>
  </ds:schemaRefs>
</ds:datastoreItem>
</file>

<file path=customXml/itemProps3.xml><?xml version="1.0" encoding="utf-8"?>
<ds:datastoreItem xmlns:ds="http://schemas.openxmlformats.org/officeDocument/2006/customXml" ds:itemID="{F1D73608-0296-4A8B-8547-D2B87968A737}">
  <ds:schemaRefs>
    <ds:schemaRef ds:uri="http://schemas.microsoft.com/office/2006/metadata/properties"/>
    <ds:schemaRef ds:uri="http://schemas.microsoft.com/office/infopath/2007/PartnerControls"/>
    <ds:schemaRef ds:uri="091e5ae7-c31f-43e0-b380-74509edc0e9e"/>
    <ds:schemaRef ds:uri="985ec44e-1bab-4c0b-9df0-6ba128686fc9"/>
    <ds:schemaRef ds:uri="009fae64-a0e6-4869-b94e-2533145ac23d"/>
  </ds:schemaRefs>
</ds:datastoreItem>
</file>

<file path=customXml/itemProps4.xml><?xml version="1.0" encoding="utf-8"?>
<ds:datastoreItem xmlns:ds="http://schemas.openxmlformats.org/officeDocument/2006/customXml" ds:itemID="{EA815C77-EE23-40AD-B21C-1112D6729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E-AC31-Doc.dotx</Template>
  <TotalTime>1</TotalTime>
  <Pages>7</Pages>
  <Words>2182</Words>
  <Characters>13786</Characters>
  <Application>Microsoft Office Word</Application>
  <DocSecurity>0</DocSecurity>
  <Lines>114</Lines>
  <Paragraphs>31</Paragraphs>
  <ScaleCrop>false</ScaleCrop>
  <HeadingPairs>
    <vt:vector size="2" baseType="variant">
      <vt:variant>
        <vt:lpstr>Titre</vt:lpstr>
      </vt:variant>
      <vt:variant>
        <vt:i4>1</vt:i4>
      </vt:variant>
    </vt:vector>
  </HeadingPairs>
  <TitlesOfParts>
    <vt:vector size="1" baseType="lpstr">
      <vt:lpstr>PC26 Sum.</vt:lpstr>
    </vt:vector>
  </TitlesOfParts>
  <Company>ONU</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PC26 Sum.</dc:title>
  <dc:subject/>
  <dc:creator>Victoria Zentilli</dc:creator>
  <cp:keywords>PC26</cp:keywords>
  <cp:lastModifiedBy>Maria Isabel Camarena Osorno</cp:lastModifiedBy>
  <cp:revision>3</cp:revision>
  <cp:lastPrinted>2023-06-16T01:59:00Z</cp:lastPrinted>
  <dcterms:created xsi:type="dcterms:W3CDTF">2023-10-30T13:35:00Z</dcterms:created>
  <dcterms:modified xsi:type="dcterms:W3CDTF">2023-10-30T13:36:00Z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